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76" w:rsidRDefault="00195D76" w:rsidP="001C51B0">
      <w:pPr>
        <w:spacing w:after="120"/>
        <w:jc w:val="both"/>
        <w:rPr>
          <w:sz w:val="28"/>
          <w:szCs w:val="28"/>
        </w:rPr>
      </w:pPr>
    </w:p>
    <w:p w:rsidR="004F72F9" w:rsidRPr="008C4762" w:rsidRDefault="004F72F9" w:rsidP="001C51B0">
      <w:pPr>
        <w:spacing w:after="120"/>
        <w:jc w:val="both"/>
        <w:rPr>
          <w:sz w:val="28"/>
          <w:szCs w:val="28"/>
        </w:rPr>
      </w:pPr>
    </w:p>
    <w:p w:rsidR="00195D76" w:rsidRPr="008C4762" w:rsidRDefault="00195D76" w:rsidP="001C51B0">
      <w:pPr>
        <w:spacing w:after="120"/>
        <w:jc w:val="both"/>
        <w:rPr>
          <w:sz w:val="28"/>
          <w:szCs w:val="28"/>
        </w:rPr>
      </w:pPr>
      <w:r w:rsidRPr="00195D76">
        <w:rPr>
          <w:noProof/>
          <w:sz w:val="28"/>
          <w:szCs w:val="28"/>
        </w:rPr>
        <w:drawing>
          <wp:anchor distT="0" distB="0" distL="114300" distR="114300" simplePos="0" relativeHeight="251659264" behindDoc="1" locked="0" layoutInCell="1" allowOverlap="1">
            <wp:simplePos x="0" y="0"/>
            <wp:positionH relativeFrom="margin">
              <wp:posOffset>2333625</wp:posOffset>
            </wp:positionH>
            <wp:positionV relativeFrom="paragraph">
              <wp:posOffset>-318770</wp:posOffset>
            </wp:positionV>
            <wp:extent cx="533400" cy="638175"/>
            <wp:effectExtent l="19050" t="0" r="0" b="0"/>
            <wp:wrapTight wrapText="bothSides">
              <wp:wrapPolygon edited="0">
                <wp:start x="-771" y="0"/>
                <wp:lineTo x="-771" y="21278"/>
                <wp:lineTo x="21600" y="21278"/>
                <wp:lineTo x="21600" y="0"/>
                <wp:lineTo x="-771" y="0"/>
              </wp:wrapPolygon>
            </wp:wrapTight>
            <wp:docPr id="1"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8175"/>
                    </a:xfrm>
                    <a:prstGeom prst="rect">
                      <a:avLst/>
                    </a:prstGeom>
                    <a:noFill/>
                    <a:ln>
                      <a:noFill/>
                    </a:ln>
                  </pic:spPr>
                </pic:pic>
              </a:graphicData>
            </a:graphic>
          </wp:anchor>
        </w:drawing>
      </w:r>
    </w:p>
    <w:p w:rsidR="00195D76" w:rsidRPr="00155F60" w:rsidRDefault="00195D76" w:rsidP="001C51B0">
      <w:pPr>
        <w:spacing w:after="120"/>
        <w:jc w:val="center"/>
        <w:rPr>
          <w:b/>
        </w:rPr>
      </w:pPr>
    </w:p>
    <w:p w:rsidR="00195D76" w:rsidRPr="00155F60" w:rsidRDefault="00195D76" w:rsidP="00155F60">
      <w:pPr>
        <w:jc w:val="center"/>
        <w:rPr>
          <w:b/>
        </w:rPr>
      </w:pPr>
      <w:r w:rsidRPr="00155F60">
        <w:rPr>
          <w:b/>
        </w:rPr>
        <w:t>KANDAVAS NOVADA DOME</w:t>
      </w:r>
    </w:p>
    <w:p w:rsidR="00195D76" w:rsidRPr="00155F60" w:rsidRDefault="00195D76" w:rsidP="00155F60">
      <w:pPr>
        <w:jc w:val="center"/>
      </w:pPr>
      <w:r w:rsidRPr="00155F60">
        <w:rPr>
          <w:b/>
        </w:rPr>
        <w:t>SIA „ KANDAVAS KOMUNĀLIE PAKALPOJUMI</w:t>
      </w:r>
      <w:r w:rsidRPr="00155F60">
        <w:t>”</w:t>
      </w:r>
    </w:p>
    <w:p w:rsidR="00195D76" w:rsidRPr="00155F60" w:rsidRDefault="00195D76" w:rsidP="00155F60">
      <w:pPr>
        <w:jc w:val="center"/>
      </w:pPr>
      <w:r w:rsidRPr="00155F60">
        <w:t xml:space="preserve">„ </w:t>
      </w:r>
      <w:proofErr w:type="spellStart"/>
      <w:r w:rsidRPr="00155F60">
        <w:t>Robežkalni</w:t>
      </w:r>
      <w:proofErr w:type="spellEnd"/>
      <w:r w:rsidRPr="00155F60">
        <w:t>”, Kandavas pagasts, Kandavas novads, LV - 3120</w:t>
      </w:r>
    </w:p>
    <w:p w:rsidR="00195D76" w:rsidRPr="00155F60" w:rsidRDefault="00195D76" w:rsidP="00155F60">
      <w:pPr>
        <w:pBdr>
          <w:bottom w:val="single" w:sz="12" w:space="1" w:color="auto"/>
        </w:pBdr>
        <w:jc w:val="center"/>
      </w:pPr>
      <w:r w:rsidRPr="00155F60">
        <w:t xml:space="preserve">Reģ.Nr.41203006844, tālrunis 631 26072, 631 26188, </w:t>
      </w:r>
      <w:r w:rsidR="00155F60" w:rsidRPr="00155F60">
        <w:t>e-pasts: sia_kkp@inbox.lv</w:t>
      </w:r>
    </w:p>
    <w:p w:rsidR="00155F60" w:rsidRPr="006B2AC9" w:rsidRDefault="00155F60" w:rsidP="00155F60">
      <w:pPr>
        <w:jc w:val="right"/>
      </w:pPr>
      <w:r w:rsidRPr="006B2AC9">
        <w:t>Apstiprināti</w:t>
      </w:r>
    </w:p>
    <w:p w:rsidR="00155F60" w:rsidRPr="006B2AC9" w:rsidRDefault="00564670" w:rsidP="00155F60">
      <w:pPr>
        <w:jc w:val="right"/>
      </w:pPr>
      <w:r w:rsidRPr="006B2AC9">
        <w:t>19</w:t>
      </w:r>
      <w:r w:rsidR="00155F60" w:rsidRPr="006B2AC9">
        <w:t>.</w:t>
      </w:r>
      <w:r w:rsidR="00D20404" w:rsidRPr="006B2AC9">
        <w:t>0</w:t>
      </w:r>
      <w:r w:rsidRPr="006B2AC9">
        <w:t>3</w:t>
      </w:r>
      <w:r w:rsidR="00155F60" w:rsidRPr="006B2AC9">
        <w:t>.</w:t>
      </w:r>
      <w:r w:rsidR="00D20404" w:rsidRPr="006B2AC9">
        <w:t>2021</w:t>
      </w:r>
      <w:r w:rsidR="00155F60" w:rsidRPr="006B2AC9">
        <w:t>.Rīkojum</w:t>
      </w:r>
      <w:r w:rsidR="00E371C6" w:rsidRPr="006B2AC9">
        <w:t>s</w:t>
      </w:r>
      <w:r w:rsidR="00155F60" w:rsidRPr="006B2AC9">
        <w:t xml:space="preserve"> Nr.</w:t>
      </w:r>
      <w:r w:rsidR="001E44CB" w:rsidRPr="006B2AC9">
        <w:t>3</w:t>
      </w:r>
    </w:p>
    <w:p w:rsidR="0063046D" w:rsidRPr="006B2AC9" w:rsidRDefault="0063046D" w:rsidP="00155F60">
      <w:pPr>
        <w:jc w:val="right"/>
      </w:pPr>
      <w:r w:rsidRPr="006B2AC9">
        <w:t>Spēkā no 0</w:t>
      </w:r>
      <w:r w:rsidR="00D20404" w:rsidRPr="006B2AC9">
        <w:t>1</w:t>
      </w:r>
      <w:r w:rsidRPr="006B2AC9">
        <w:t>.0</w:t>
      </w:r>
      <w:r w:rsidR="00564670" w:rsidRPr="006B2AC9">
        <w:t>4</w:t>
      </w:r>
      <w:r w:rsidRPr="006B2AC9">
        <w:t>.20</w:t>
      </w:r>
      <w:r w:rsidR="00D20404" w:rsidRPr="006B2AC9">
        <w:t>21</w:t>
      </w:r>
      <w:r w:rsidRPr="006B2AC9">
        <w:t>.</w:t>
      </w:r>
    </w:p>
    <w:p w:rsidR="00195D76" w:rsidRDefault="00195D76" w:rsidP="001C51B0">
      <w:pPr>
        <w:spacing w:after="120"/>
        <w:jc w:val="both"/>
        <w:rPr>
          <w:sz w:val="28"/>
          <w:szCs w:val="28"/>
        </w:rPr>
      </w:pPr>
      <w:r w:rsidRPr="00155F60">
        <w:t xml:space="preserve">Kandava,  </w:t>
      </w:r>
      <w:r w:rsidR="00564670" w:rsidRPr="006B2AC9">
        <w:t>1</w:t>
      </w:r>
      <w:r w:rsidR="003431F1" w:rsidRPr="006B2AC9">
        <w:t>9</w:t>
      </w:r>
      <w:r w:rsidRPr="006B2AC9">
        <w:t>.0</w:t>
      </w:r>
      <w:r w:rsidR="00564670" w:rsidRPr="006B2AC9">
        <w:t>3</w:t>
      </w:r>
      <w:r w:rsidR="00D20404" w:rsidRPr="006B2AC9">
        <w:t>.2021</w:t>
      </w:r>
      <w:r w:rsidRPr="006B2AC9">
        <w:tab/>
      </w:r>
      <w:r w:rsidRPr="008C4762">
        <w:rPr>
          <w:sz w:val="28"/>
          <w:szCs w:val="28"/>
        </w:rPr>
        <w:tab/>
      </w:r>
      <w:r w:rsidRPr="008C4762">
        <w:rPr>
          <w:sz w:val="28"/>
          <w:szCs w:val="28"/>
        </w:rPr>
        <w:tab/>
      </w:r>
      <w:r w:rsidRPr="008C4762">
        <w:rPr>
          <w:sz w:val="28"/>
          <w:szCs w:val="28"/>
        </w:rPr>
        <w:tab/>
      </w:r>
      <w:r w:rsidRPr="008C4762">
        <w:rPr>
          <w:sz w:val="28"/>
          <w:szCs w:val="28"/>
        </w:rPr>
        <w:tab/>
      </w:r>
      <w:r w:rsidRPr="008C4762">
        <w:rPr>
          <w:sz w:val="28"/>
          <w:szCs w:val="28"/>
        </w:rPr>
        <w:tab/>
      </w:r>
    </w:p>
    <w:p w:rsidR="00155F60" w:rsidRDefault="00155F60" w:rsidP="001C51B0">
      <w:pPr>
        <w:spacing w:after="120"/>
        <w:jc w:val="both"/>
        <w:rPr>
          <w:b/>
          <w:sz w:val="28"/>
          <w:szCs w:val="28"/>
        </w:rPr>
      </w:pPr>
    </w:p>
    <w:p w:rsidR="00424668" w:rsidRPr="00D505EF" w:rsidRDefault="00195D76" w:rsidP="00155F60">
      <w:pPr>
        <w:jc w:val="center"/>
        <w:rPr>
          <w:b/>
        </w:rPr>
      </w:pPr>
      <w:r w:rsidRPr="00D505EF">
        <w:rPr>
          <w:b/>
        </w:rPr>
        <w:t>SIA „Kandavas komunālie pakalpojumi”</w:t>
      </w:r>
    </w:p>
    <w:p w:rsidR="000B5DBA" w:rsidRDefault="000B5DBA" w:rsidP="00155F60">
      <w:pPr>
        <w:jc w:val="center"/>
        <w:rPr>
          <w:b/>
        </w:rPr>
      </w:pPr>
      <w:r w:rsidRPr="00D505EF">
        <w:rPr>
          <w:b/>
        </w:rPr>
        <w:t>Ins</w:t>
      </w:r>
      <w:r w:rsidR="001C51B0" w:rsidRPr="00D505EF">
        <w:rPr>
          <w:b/>
        </w:rPr>
        <w:t xml:space="preserve">trukcija </w:t>
      </w:r>
      <w:r w:rsidR="00DB48F4" w:rsidRPr="00D505EF">
        <w:rPr>
          <w:b/>
        </w:rPr>
        <w:t>par debitoru parādu piedziņas procesu</w:t>
      </w:r>
    </w:p>
    <w:p w:rsidR="00155F60" w:rsidRDefault="00155F60" w:rsidP="00155F60">
      <w:pPr>
        <w:jc w:val="center"/>
        <w:rPr>
          <w:b/>
        </w:rPr>
      </w:pPr>
    </w:p>
    <w:p w:rsidR="001C51B0" w:rsidRPr="00D505EF" w:rsidRDefault="001C51B0" w:rsidP="001C51B0">
      <w:pPr>
        <w:spacing w:after="120"/>
        <w:jc w:val="center"/>
        <w:rPr>
          <w:b/>
        </w:rPr>
      </w:pPr>
      <w:r w:rsidRPr="00D505EF">
        <w:rPr>
          <w:b/>
        </w:rPr>
        <w:t>I Vispārīgie noteikumi</w:t>
      </w:r>
    </w:p>
    <w:p w:rsidR="001C51B0" w:rsidRPr="00D505EF" w:rsidRDefault="001C51B0" w:rsidP="00EE4AA8">
      <w:pPr>
        <w:pStyle w:val="Sarakstarindkopa"/>
        <w:numPr>
          <w:ilvl w:val="0"/>
          <w:numId w:val="1"/>
        </w:numPr>
        <w:spacing w:after="120"/>
        <w:ind w:left="425" w:hanging="357"/>
        <w:contextualSpacing w:val="0"/>
        <w:jc w:val="both"/>
        <w:rPr>
          <w:b/>
        </w:rPr>
      </w:pPr>
      <w:r w:rsidRPr="00D505EF">
        <w:t>SIA „Kandavas komunālie pakalpojumi” (turpmāk tekstā - Uzņēmums) Instrukc</w:t>
      </w:r>
      <w:r w:rsidR="00DB48F4" w:rsidRPr="00D505EF">
        <w:t>ija par debitoru parādu piedziņas procesu</w:t>
      </w:r>
      <w:r w:rsidRPr="00D505EF">
        <w:t xml:space="preserve"> (turpmāk tekstā – Instrukcija) nosaka kārtību kādā Uzņēmums veic parādu piedziņu no debitoriem pirmstiesas</w:t>
      </w:r>
      <w:r w:rsidR="00EE4AA8" w:rsidRPr="00D505EF">
        <w:t>,</w:t>
      </w:r>
      <w:r w:rsidRPr="00D505EF">
        <w:t xml:space="preserve"> tiesas procesā</w:t>
      </w:r>
      <w:r w:rsidR="00EE4AA8" w:rsidRPr="00D505EF">
        <w:t xml:space="preserve"> un pēc tiesas </w:t>
      </w:r>
      <w:r w:rsidR="008F3D94">
        <w:t>no</w:t>
      </w:r>
      <w:r w:rsidR="00EE4AA8" w:rsidRPr="00D505EF">
        <w:t>lēmuma.</w:t>
      </w:r>
    </w:p>
    <w:p w:rsidR="00EE4AA8" w:rsidRPr="00D505EF" w:rsidRDefault="008F3D94" w:rsidP="00EE4AA8">
      <w:pPr>
        <w:pStyle w:val="Sarakstarindkopa"/>
        <w:numPr>
          <w:ilvl w:val="0"/>
          <w:numId w:val="1"/>
        </w:numPr>
        <w:spacing w:after="120"/>
        <w:ind w:left="425" w:hanging="357"/>
        <w:contextualSpacing w:val="0"/>
        <w:jc w:val="both"/>
        <w:rPr>
          <w:b/>
        </w:rPr>
      </w:pPr>
      <w:r>
        <w:t>I</w:t>
      </w:r>
      <w:r w:rsidR="00EE4AA8" w:rsidRPr="00D505EF">
        <w:t>nstrukcija attiecas uz visiem Uzņēmuma klientiem, kuriem ti</w:t>
      </w:r>
      <w:r>
        <w:t>cis</w:t>
      </w:r>
      <w:r w:rsidR="00EE4AA8" w:rsidRPr="00D505EF">
        <w:t xml:space="preserve"> sniegts pakalpojums, saskaņā ar noslēgto pakalpojumu līgumu </w:t>
      </w:r>
      <w:r>
        <w:t xml:space="preserve">vai vienošanos </w:t>
      </w:r>
      <w:r w:rsidR="00EE4AA8" w:rsidRPr="00D505EF">
        <w:t>un kuri</w:t>
      </w:r>
      <w:r w:rsidR="00A54304">
        <w:t>,</w:t>
      </w:r>
      <w:r w:rsidR="00EE4AA8" w:rsidRPr="00D505EF">
        <w:t xml:space="preserve"> par saņemto pakalpojumu</w:t>
      </w:r>
      <w:r w:rsidR="00A54304">
        <w:t>,</w:t>
      </w:r>
      <w:r w:rsidR="00EE4AA8" w:rsidRPr="00D505EF">
        <w:t xml:space="preserve"> nav norēķinājušies </w:t>
      </w:r>
      <w:r>
        <w:t>noteiktā termiņā</w:t>
      </w:r>
      <w:r w:rsidR="00EE4AA8" w:rsidRPr="00D505EF">
        <w:t>.</w:t>
      </w:r>
    </w:p>
    <w:p w:rsidR="00EE4AA8" w:rsidRPr="00D505EF" w:rsidRDefault="00EE4AA8" w:rsidP="00EE4AA8">
      <w:pPr>
        <w:pStyle w:val="Sarakstarindkopa"/>
        <w:numPr>
          <w:ilvl w:val="0"/>
          <w:numId w:val="1"/>
        </w:numPr>
        <w:spacing w:after="120"/>
        <w:ind w:left="425" w:hanging="357"/>
        <w:contextualSpacing w:val="0"/>
        <w:jc w:val="both"/>
        <w:rPr>
          <w:b/>
        </w:rPr>
      </w:pPr>
      <w:r w:rsidRPr="00D505EF">
        <w:t xml:space="preserve">Instrukcijas mērķis ir nodrošināt efektīvus un rezultatīvus </w:t>
      </w:r>
      <w:r w:rsidR="00625574">
        <w:t>d</w:t>
      </w:r>
      <w:r w:rsidRPr="00D505EF">
        <w:t>ebitoru parādu piedziņas procesus, un samazināt piedziņas procesā esošo</w:t>
      </w:r>
      <w:r w:rsidR="00492C9F" w:rsidRPr="00D505EF">
        <w:t>s</w:t>
      </w:r>
      <w:r w:rsidRPr="00D505EF">
        <w:t xml:space="preserve"> debitoru</w:t>
      </w:r>
      <w:r w:rsidR="00492C9F" w:rsidRPr="00D505EF">
        <w:t xml:space="preserve"> parādus.</w:t>
      </w:r>
      <w:r w:rsidRPr="00D505EF">
        <w:t xml:space="preserve"> </w:t>
      </w:r>
    </w:p>
    <w:p w:rsidR="00EE4AA8" w:rsidRPr="008F3D94" w:rsidRDefault="00EE4AA8" w:rsidP="001C51B0">
      <w:pPr>
        <w:pStyle w:val="Sarakstarindkopa"/>
        <w:numPr>
          <w:ilvl w:val="0"/>
          <w:numId w:val="1"/>
        </w:numPr>
        <w:spacing w:after="120"/>
        <w:ind w:left="426"/>
        <w:jc w:val="both"/>
        <w:rPr>
          <w:b/>
        </w:rPr>
      </w:pPr>
      <w:r w:rsidRPr="00D505EF">
        <w:t xml:space="preserve">Jautājumus, kuri saistīti ar šo Instrukciju un kuri nav atrunātu šajā Instrukcijā, regulē Latvijas </w:t>
      </w:r>
      <w:r w:rsidR="004E6025">
        <w:t>R</w:t>
      </w:r>
      <w:r w:rsidRPr="00D505EF">
        <w:t>epublikā spēkā esošie normatīvie akti, kā arī Uzņēmuma iekšējie normatīvie akti un Uzņēmuma vadības rīkojumi.</w:t>
      </w:r>
    </w:p>
    <w:p w:rsidR="00000000" w:rsidRDefault="00D54175">
      <w:pPr>
        <w:pStyle w:val="Sarakstarindkopa"/>
        <w:spacing w:after="120"/>
        <w:ind w:left="426"/>
        <w:jc w:val="both"/>
        <w:rPr>
          <w:b/>
        </w:rPr>
      </w:pPr>
    </w:p>
    <w:p w:rsidR="002C04D8" w:rsidRPr="002C04D8" w:rsidRDefault="002C04D8" w:rsidP="001C51B0">
      <w:pPr>
        <w:pStyle w:val="Sarakstarindkopa"/>
        <w:numPr>
          <w:ilvl w:val="0"/>
          <w:numId w:val="1"/>
        </w:numPr>
        <w:spacing w:after="120"/>
        <w:ind w:left="426"/>
        <w:jc w:val="both"/>
        <w:rPr>
          <w:b/>
        </w:rPr>
      </w:pPr>
      <w:r>
        <w:t>Instrukcijā lietotie saīsinājumi:</w:t>
      </w:r>
    </w:p>
    <w:p w:rsidR="007553AD" w:rsidRDefault="00A26621" w:rsidP="004632AF">
      <w:pPr>
        <w:pStyle w:val="Sarakstarindkopa"/>
        <w:numPr>
          <w:ilvl w:val="1"/>
          <w:numId w:val="1"/>
        </w:numPr>
        <w:spacing w:after="120"/>
        <w:ind w:left="1418" w:hanging="567"/>
        <w:jc w:val="both"/>
      </w:pPr>
      <w:r w:rsidRPr="00A26621">
        <w:t>ZTI</w:t>
      </w:r>
      <w:r>
        <w:t xml:space="preserve"> -</w:t>
      </w:r>
      <w:r w:rsidRPr="00A26621">
        <w:t xml:space="preserve"> Zvērināts tiesu izpildītājs</w:t>
      </w:r>
      <w:r>
        <w:t>;</w:t>
      </w:r>
    </w:p>
    <w:p w:rsidR="00A26621" w:rsidRPr="00A26621" w:rsidRDefault="00A26621" w:rsidP="004632AF">
      <w:pPr>
        <w:pStyle w:val="Sarakstarindkopa"/>
        <w:numPr>
          <w:ilvl w:val="1"/>
          <w:numId w:val="1"/>
        </w:numPr>
        <w:spacing w:after="120"/>
        <w:ind w:left="1418" w:hanging="567"/>
        <w:jc w:val="both"/>
      </w:pPr>
      <w:r w:rsidRPr="00A26621">
        <w:t>CL</w:t>
      </w:r>
      <w:r>
        <w:t xml:space="preserve"> - C</w:t>
      </w:r>
      <w:r w:rsidRPr="00A26621">
        <w:t>ivillikums</w:t>
      </w:r>
      <w:r>
        <w:t>;</w:t>
      </w:r>
    </w:p>
    <w:p w:rsidR="00A26621" w:rsidRPr="00A26621" w:rsidRDefault="00A26621" w:rsidP="004632AF">
      <w:pPr>
        <w:pStyle w:val="Sarakstarindkopa"/>
        <w:numPr>
          <w:ilvl w:val="1"/>
          <w:numId w:val="1"/>
        </w:numPr>
        <w:spacing w:after="120"/>
        <w:ind w:left="1418" w:hanging="567"/>
        <w:jc w:val="both"/>
      </w:pPr>
      <w:r w:rsidRPr="00A26621">
        <w:t>CPL</w:t>
      </w:r>
      <w:r>
        <w:t xml:space="preserve"> </w:t>
      </w:r>
      <w:r w:rsidRPr="00A26621">
        <w:t>-</w:t>
      </w:r>
      <w:r>
        <w:t xml:space="preserve"> </w:t>
      </w:r>
      <w:r w:rsidRPr="00A26621">
        <w:t>Civilprocesa likums</w:t>
      </w:r>
      <w:r>
        <w:t>.</w:t>
      </w:r>
    </w:p>
    <w:p w:rsidR="00492C9F" w:rsidRPr="00D505EF" w:rsidRDefault="00492C9F" w:rsidP="006E7921">
      <w:pPr>
        <w:spacing w:after="120"/>
        <w:jc w:val="center"/>
        <w:rPr>
          <w:b/>
        </w:rPr>
      </w:pPr>
      <w:r w:rsidRPr="00D505EF">
        <w:rPr>
          <w:b/>
        </w:rPr>
        <w:t xml:space="preserve">II Debitoru pazīmes, uzskaite un apstrāde </w:t>
      </w:r>
      <w:r w:rsidR="006E7921" w:rsidRPr="00D505EF">
        <w:rPr>
          <w:b/>
        </w:rPr>
        <w:t>pirmstiesas procesā</w:t>
      </w:r>
    </w:p>
    <w:p w:rsidR="00492C9F" w:rsidRPr="00D505EF" w:rsidRDefault="00492C9F" w:rsidP="00424668">
      <w:pPr>
        <w:pStyle w:val="Sarakstarindkopa"/>
        <w:numPr>
          <w:ilvl w:val="0"/>
          <w:numId w:val="1"/>
        </w:numPr>
        <w:spacing w:after="120"/>
        <w:ind w:left="426"/>
        <w:jc w:val="both"/>
      </w:pPr>
      <w:r w:rsidRPr="00D505EF">
        <w:t>Klients Uzņēmuma debitoru uzskaitē tiek iekļauts</w:t>
      </w:r>
      <w:r w:rsidR="00424668" w:rsidRPr="00D505EF">
        <w:t xml:space="preserve">, </w:t>
      </w:r>
      <w:r w:rsidRPr="00D505EF">
        <w:t xml:space="preserve">ja izpildās </w:t>
      </w:r>
      <w:r w:rsidR="004F72F9">
        <w:t>vismaz</w:t>
      </w:r>
      <w:r w:rsidRPr="00D505EF">
        <w:t xml:space="preserve"> viena no minētajām Debitor</w:t>
      </w:r>
      <w:r w:rsidR="00424668" w:rsidRPr="00D505EF">
        <w:t>a</w:t>
      </w:r>
      <w:r w:rsidRPr="00D505EF">
        <w:t xml:space="preserve"> pazīmēm:</w:t>
      </w:r>
    </w:p>
    <w:p w:rsidR="00492C9F" w:rsidRDefault="008F3D94" w:rsidP="004632AF">
      <w:pPr>
        <w:pStyle w:val="Sarakstarindkopa"/>
        <w:numPr>
          <w:ilvl w:val="1"/>
          <w:numId w:val="1"/>
        </w:numPr>
        <w:spacing w:after="120"/>
        <w:ind w:left="1843" w:hanging="505"/>
        <w:jc w:val="both"/>
      </w:pPr>
      <w:r>
        <w:t>Fiziskas personas r</w:t>
      </w:r>
      <w:r w:rsidR="00424668" w:rsidRPr="00D505EF">
        <w:t>ēķina apmaksa par pakalpojumiem tiek kavēta  90 (deviņdesmit) kalendārās dienas un vairāk;</w:t>
      </w:r>
    </w:p>
    <w:p w:rsidR="008F3D94" w:rsidRPr="00D505EF" w:rsidRDefault="008F3D94" w:rsidP="004632AF">
      <w:pPr>
        <w:pStyle w:val="Sarakstarindkopa"/>
        <w:numPr>
          <w:ilvl w:val="1"/>
          <w:numId w:val="1"/>
        </w:numPr>
        <w:spacing w:after="120"/>
        <w:ind w:left="1843" w:hanging="505"/>
        <w:jc w:val="both"/>
      </w:pPr>
      <w:r>
        <w:t>Juridiskas personas rēķina apmaksa par pakalpojumiem tiek kavēta 60 (sešdesmit) kalendārās dienas un vairāk;</w:t>
      </w:r>
    </w:p>
    <w:p w:rsidR="008F3D94" w:rsidRDefault="00424668" w:rsidP="00A26AF8">
      <w:pPr>
        <w:pStyle w:val="Sarakstarindkopa"/>
        <w:numPr>
          <w:ilvl w:val="0"/>
          <w:numId w:val="1"/>
        </w:numPr>
        <w:ind w:left="426" w:hanging="426"/>
        <w:jc w:val="both"/>
      </w:pPr>
      <w:r w:rsidRPr="00D505EF">
        <w:t>Par radušos parādsaistību</w:t>
      </w:r>
      <w:r w:rsidR="00E74C6A">
        <w:t xml:space="preserve">, ja tā izcēlusies no pakalpojumiem, kas tiek sniegti regulāri, katru mēnesi, </w:t>
      </w:r>
      <w:r w:rsidRPr="00D505EF">
        <w:t xml:space="preserve"> Debitori tiek informēti ar </w:t>
      </w:r>
      <w:r w:rsidR="00E74C6A">
        <w:t>nākošā</w:t>
      </w:r>
      <w:r w:rsidRPr="00D505EF">
        <w:t xml:space="preserve"> rēķina izrakstīšanu un piegādāšanu. </w:t>
      </w:r>
    </w:p>
    <w:p w:rsidR="00B86758" w:rsidRDefault="00E74C6A" w:rsidP="00A26AF8">
      <w:pPr>
        <w:pStyle w:val="Sarakstarindkopa"/>
        <w:numPr>
          <w:ilvl w:val="0"/>
          <w:numId w:val="1"/>
        </w:numPr>
        <w:ind w:left="426" w:hanging="426"/>
        <w:jc w:val="both"/>
      </w:pPr>
      <w:r>
        <w:t>Par</w:t>
      </w:r>
      <w:r w:rsidR="008F3D94">
        <w:t xml:space="preserve"> rēķina kavējumu, sākot ar </w:t>
      </w:r>
      <w:r>
        <w:t>kavējuma otro dienu tiek aprēķināti kavējuma procenti atbilstoši Līguma nosacījumiem, kas noslēgts starp Uzņēmumu un Debitoru.</w:t>
      </w:r>
      <w:r w:rsidR="008F3D94">
        <w:t xml:space="preserve"> </w:t>
      </w:r>
      <w:r w:rsidR="00424668" w:rsidRPr="00D505EF">
        <w:t>Rēķinā tiek norādīta tekošā rēķina summa,</w:t>
      </w:r>
      <w:r w:rsidR="004A22A2" w:rsidRPr="00D505EF">
        <w:t xml:space="preserve"> </w:t>
      </w:r>
      <w:r w:rsidR="00424668" w:rsidRPr="00D505EF">
        <w:t>uzkrātais parāds</w:t>
      </w:r>
      <w:r>
        <w:t>, aprēķinātie kavējuma procenti</w:t>
      </w:r>
      <w:r w:rsidR="00424668" w:rsidRPr="00D505EF">
        <w:t xml:space="preserve"> un summa apmaksai. </w:t>
      </w:r>
      <w:r>
        <w:t>Kavējuma procenti tiek aprēķināti tikai par pamatparādu.</w:t>
      </w:r>
    </w:p>
    <w:p w:rsidR="00E74C6A" w:rsidRDefault="00912157" w:rsidP="00A26AF8">
      <w:pPr>
        <w:pStyle w:val="Sarakstarindkopa"/>
        <w:numPr>
          <w:ilvl w:val="0"/>
          <w:numId w:val="1"/>
        </w:numPr>
        <w:ind w:left="426" w:hanging="426"/>
        <w:jc w:val="both"/>
      </w:pPr>
      <w:r>
        <w:t xml:space="preserve"> Debitoram veicot daļēju parāda apmaksu, iemaksātā summa tiek novirzīta atbilstoši Uzņēmuma noteiktajām prioritāri dzēšamajām summām.</w:t>
      </w:r>
    </w:p>
    <w:p w:rsidR="00912157" w:rsidRPr="00D505EF" w:rsidRDefault="00D744D1" w:rsidP="00A26AF8">
      <w:pPr>
        <w:pStyle w:val="Sarakstarindkopa"/>
        <w:numPr>
          <w:ilvl w:val="0"/>
          <w:numId w:val="1"/>
        </w:numPr>
        <w:ind w:left="426" w:hanging="426"/>
        <w:jc w:val="both"/>
      </w:pPr>
      <w:r>
        <w:lastRenderedPageBreak/>
        <w:t>Biroja administrators regulāri, līdz katra mēneša 5.datumam, veic pārbaudi grāmatvedības programmā un nosūta vienkāršus atgādinājumus SMS un e-pasta vēstuļu formā Klientiem, kas nav veikuši iepriekšējā mēneša rēķina apmaksu, par kavētu maksājumu.</w:t>
      </w:r>
    </w:p>
    <w:p w:rsidR="00424668" w:rsidRPr="00D505EF" w:rsidRDefault="001E62F4" w:rsidP="00A26AF8">
      <w:pPr>
        <w:pStyle w:val="Sarakstarindkopa"/>
        <w:numPr>
          <w:ilvl w:val="0"/>
          <w:numId w:val="1"/>
        </w:numPr>
        <w:ind w:left="426" w:hanging="426"/>
        <w:jc w:val="both"/>
      </w:pPr>
      <w:r>
        <w:t>Izpildoties šīs instrukcijas 6</w:t>
      </w:r>
      <w:r w:rsidR="004A22A2" w:rsidRPr="00D505EF">
        <w:t>.punktā uzskaitītajām pazīmēm, Debitoram tiek nosūtīta atgādinājuma vēstule par kavēt</w:t>
      </w:r>
      <w:r w:rsidR="001B5E61">
        <w:t>ā</w:t>
      </w:r>
      <w:r w:rsidR="004A22A2" w:rsidRPr="00D505EF">
        <w:t xml:space="preserve"> pakalpojuma apmak</w:t>
      </w:r>
      <w:r w:rsidR="003F07B9">
        <w:t>su, norādot kopējo parāda summu</w:t>
      </w:r>
      <w:r w:rsidR="00D744D1">
        <w:t xml:space="preserve">, izdalot pamata parāda apmēru un aprēķinātos kavējuma procentus, kā arī </w:t>
      </w:r>
      <w:r w:rsidR="004A22A2" w:rsidRPr="00D505EF">
        <w:t>apmaksas termiņu</w:t>
      </w:r>
      <w:r w:rsidR="004F72F9">
        <w:t xml:space="preserve"> </w:t>
      </w:r>
      <w:r w:rsidR="00D744D1">
        <w:t>3</w:t>
      </w:r>
      <w:r w:rsidR="003F07B9">
        <w:t>0</w:t>
      </w:r>
      <w:r w:rsidR="004F72F9">
        <w:t xml:space="preserve"> </w:t>
      </w:r>
      <w:r w:rsidR="003F07B9">
        <w:t>(</w:t>
      </w:r>
      <w:r w:rsidR="00D744D1">
        <w:t>trīs</w:t>
      </w:r>
      <w:r w:rsidR="003F07B9">
        <w:t>desmit) kalendār</w:t>
      </w:r>
      <w:r w:rsidR="00BC55F4">
        <w:t>ās</w:t>
      </w:r>
      <w:r w:rsidR="003F07B9">
        <w:t xml:space="preserve"> dienas</w:t>
      </w:r>
      <w:r w:rsidR="004A22A2" w:rsidRPr="00D505EF">
        <w:t xml:space="preserve"> . Debitoram tiek piedāvāta iespējā parādu atmaksāt daļās</w:t>
      </w:r>
      <w:r w:rsidR="006743DA">
        <w:t>,</w:t>
      </w:r>
      <w:r w:rsidR="004A22A2" w:rsidRPr="00D505EF">
        <w:t xml:space="preserve"> noslēdzot vienošanos par parāda atmaksu.</w:t>
      </w:r>
      <w:r w:rsidR="00D744D1">
        <w:t xml:space="preserve"> Ja Debitors ir pašvaldības dzīvokļa īrnieks, papildus atgādinājumā tiek iekļauta informācija par pašvaldības informēšanu par parādsaistībām, gadījumam, ja Debitors uz atgādinājumu nereaģēs. </w:t>
      </w:r>
    </w:p>
    <w:p w:rsidR="004A22A2" w:rsidRPr="00D505EF" w:rsidRDefault="004A22A2" w:rsidP="00A26AF8">
      <w:pPr>
        <w:pStyle w:val="Sarakstarindkopa"/>
        <w:numPr>
          <w:ilvl w:val="0"/>
          <w:numId w:val="1"/>
        </w:numPr>
        <w:ind w:left="426" w:hanging="426"/>
        <w:jc w:val="both"/>
      </w:pPr>
      <w:r w:rsidRPr="00D505EF">
        <w:t>Ja Debitors nav atsaucies je</w:t>
      </w:r>
      <w:r w:rsidR="001E62F4">
        <w:t xml:space="preserve">b reaģējis uz </w:t>
      </w:r>
      <w:r w:rsidR="00D744D1">
        <w:t>I</w:t>
      </w:r>
      <w:r w:rsidR="001E62F4">
        <w:t xml:space="preserve">nstrukcijas </w:t>
      </w:r>
      <w:r w:rsidR="00D744D1">
        <w:t>11.</w:t>
      </w:r>
      <w:r w:rsidRPr="00D505EF">
        <w:t xml:space="preserve">punktā minēto atgādinājuma vēstuli un atgādinājuma vēstules noteiktajā termiņā nav samaksājis uzkrāto </w:t>
      </w:r>
      <w:r w:rsidR="00D744D1">
        <w:t xml:space="preserve">kopējo </w:t>
      </w:r>
      <w:r w:rsidRPr="00D505EF">
        <w:t>parādu</w:t>
      </w:r>
      <w:r w:rsidR="00CC5DF2">
        <w:t xml:space="preserve"> vai noslēdzis Vien</w:t>
      </w:r>
      <w:r w:rsidR="00F60557">
        <w:t>o</w:t>
      </w:r>
      <w:r w:rsidR="00CC5DF2">
        <w:t>šanos par parāda atmaksu daļās</w:t>
      </w:r>
      <w:r w:rsidRPr="00D505EF">
        <w:t>, Debitoram tiek nosūtīts Pirmstiesas brīdinājums, norādot parāda atmaksas termiņu</w:t>
      </w:r>
      <w:r w:rsidR="003F07B9">
        <w:t xml:space="preserve"> </w:t>
      </w:r>
      <w:r w:rsidR="00D744D1">
        <w:t>3</w:t>
      </w:r>
      <w:r w:rsidR="003F07B9">
        <w:t>0 (</w:t>
      </w:r>
      <w:r w:rsidR="00D744D1">
        <w:t>trīs</w:t>
      </w:r>
      <w:r w:rsidR="003F07B9">
        <w:t>desmit</w:t>
      </w:r>
      <w:r w:rsidR="00BC55F4">
        <w:t>) kalendārās</w:t>
      </w:r>
      <w:r w:rsidR="003F07B9">
        <w:t xml:space="preserve"> dienas</w:t>
      </w:r>
      <w:r w:rsidRPr="00D505EF">
        <w:t xml:space="preserve">, piedāvājot par parāda atmaksu daļās noslēgt vienošanos. Ar pirmstiesas brīdinājumu Debitors tiek informēts un brīdināts, ka parāda nesamaksāšanas gadījumā Uzņēmums būs spiests vērsties  </w:t>
      </w:r>
      <w:r w:rsidR="003F07B9">
        <w:t>t</w:t>
      </w:r>
      <w:r w:rsidRPr="00D505EF">
        <w:t>iesā ar prasījumu piedzīt parādu piespiedu kārtā, norādot, ka Debitoram papildus parādam būs jāsedz tiesāšan</w:t>
      </w:r>
      <w:r w:rsidR="004F72F9">
        <w:t>ā</w:t>
      </w:r>
      <w:r w:rsidRPr="00D505EF">
        <w:t>s izdevumi.</w:t>
      </w:r>
      <w:r w:rsidR="00D744D1">
        <w:t xml:space="preserve"> Ja Debitors ir pašvaldības dzīvokļa īrnieks par parādsaistībām vienlaikus tiek informēta arī pašvaldība.</w:t>
      </w:r>
    </w:p>
    <w:p w:rsidR="004A22A2" w:rsidRDefault="004A22A2" w:rsidP="00A26621">
      <w:pPr>
        <w:pStyle w:val="Sarakstarindkopa"/>
        <w:numPr>
          <w:ilvl w:val="0"/>
          <w:numId w:val="1"/>
        </w:numPr>
        <w:ind w:left="426" w:hanging="426"/>
        <w:jc w:val="both"/>
      </w:pPr>
      <w:r w:rsidRPr="00D505EF">
        <w:t xml:space="preserve">Ja Debitors </w:t>
      </w:r>
      <w:r w:rsidR="006E7921" w:rsidRPr="00D505EF">
        <w:t>nav atsaucies je</w:t>
      </w:r>
      <w:r w:rsidR="001E62F4">
        <w:t xml:space="preserve">b reaģējis uz </w:t>
      </w:r>
      <w:r w:rsidR="00D744D1">
        <w:t>I</w:t>
      </w:r>
      <w:r w:rsidR="001E62F4">
        <w:t xml:space="preserve">nstrukcijas </w:t>
      </w:r>
      <w:r w:rsidR="00D744D1">
        <w:t>12</w:t>
      </w:r>
      <w:r w:rsidR="006E7921" w:rsidRPr="00D505EF">
        <w:t>.</w:t>
      </w:r>
      <w:r w:rsidR="003F07B9">
        <w:t xml:space="preserve"> </w:t>
      </w:r>
      <w:r w:rsidR="006E7921" w:rsidRPr="00D505EF">
        <w:t>punktā minēto Pirmstiesas brīdinājumu un noteiktajā termiņā nav samaksājis uzkrāto parādu</w:t>
      </w:r>
      <w:r w:rsidR="00CC5DF2">
        <w:t xml:space="preserve"> vai nav noslēdzis vienošanos par parāda atmaksu daļās</w:t>
      </w:r>
      <w:r w:rsidR="006E7921" w:rsidRPr="00D505EF">
        <w:t xml:space="preserve">, Debitora lieta </w:t>
      </w:r>
      <w:r w:rsidR="00BC55F4">
        <w:t xml:space="preserve">tiek </w:t>
      </w:r>
      <w:r w:rsidR="00D505EF" w:rsidRPr="00D505EF">
        <w:t>gatavota</w:t>
      </w:r>
      <w:r w:rsidR="006E7921" w:rsidRPr="00D505EF">
        <w:t xml:space="preserve"> parāda piedziņai tiesas procesā.</w:t>
      </w:r>
      <w:r w:rsidRPr="00D505EF">
        <w:t xml:space="preserve"> </w:t>
      </w:r>
    </w:p>
    <w:p w:rsidR="00A144D9" w:rsidRPr="00D505EF" w:rsidRDefault="00A144D9" w:rsidP="00A144D9">
      <w:pPr>
        <w:pStyle w:val="Sarakstarindkopa"/>
        <w:ind w:left="426"/>
        <w:jc w:val="both"/>
      </w:pPr>
    </w:p>
    <w:p w:rsidR="00D505EF" w:rsidRPr="00A144D9" w:rsidRDefault="00A144D9" w:rsidP="00C252FC">
      <w:pPr>
        <w:pStyle w:val="Sarakstarindkopa"/>
        <w:spacing w:after="120"/>
        <w:ind w:left="426" w:hanging="284"/>
        <w:contextualSpacing w:val="0"/>
        <w:jc w:val="center"/>
        <w:rPr>
          <w:b/>
        </w:rPr>
      </w:pPr>
      <w:r w:rsidRPr="00A144D9">
        <w:rPr>
          <w:b/>
        </w:rPr>
        <w:t>III Vienošanās par parāda atmaksu daļās</w:t>
      </w:r>
    </w:p>
    <w:p w:rsidR="00A144D9" w:rsidRDefault="00A144D9" w:rsidP="00CC5DF2">
      <w:pPr>
        <w:pStyle w:val="Sarakstarindkopa"/>
        <w:numPr>
          <w:ilvl w:val="0"/>
          <w:numId w:val="1"/>
        </w:numPr>
        <w:ind w:left="426" w:hanging="426"/>
        <w:jc w:val="both"/>
      </w:pPr>
      <w:r>
        <w:t>Vienošanos visā piedziņas procesā var noslēgt tikai vienu reizi</w:t>
      </w:r>
      <w:r w:rsidR="00CC5DF2">
        <w:t>.</w:t>
      </w:r>
      <w:r>
        <w:t xml:space="preserve"> </w:t>
      </w:r>
    </w:p>
    <w:p w:rsidR="00CC5DF2" w:rsidRDefault="00CC5DF2" w:rsidP="00CC5DF2">
      <w:pPr>
        <w:pStyle w:val="Sarakstarindkopa"/>
        <w:numPr>
          <w:ilvl w:val="0"/>
          <w:numId w:val="1"/>
        </w:numPr>
        <w:ind w:left="426" w:hanging="426"/>
        <w:jc w:val="both"/>
      </w:pPr>
      <w:r>
        <w:t>Vienošanās noslēgšanas gadījumā Uzņēmums var lemt par kavējuma procentu aprēķina apturēšanu.</w:t>
      </w:r>
    </w:p>
    <w:p w:rsidR="00CC5DF2" w:rsidRDefault="00CC5DF2" w:rsidP="00CC5DF2">
      <w:pPr>
        <w:pStyle w:val="Sarakstarindkopa"/>
        <w:numPr>
          <w:ilvl w:val="0"/>
          <w:numId w:val="1"/>
        </w:numPr>
        <w:ind w:left="426" w:hanging="426"/>
        <w:jc w:val="both"/>
      </w:pPr>
      <w:r>
        <w:t>Uzņēmums var pilnībā vai daļēji dzēst aprēķinātos kavējuma procentus, ja Debitors vienojas par pamatparāda apmaksu līdz tekošā kalendārā mēneša beigām.</w:t>
      </w:r>
    </w:p>
    <w:p w:rsidR="00A144D9" w:rsidRDefault="00A144D9" w:rsidP="00A26AF8">
      <w:pPr>
        <w:pStyle w:val="Sarakstarindkopa"/>
        <w:numPr>
          <w:ilvl w:val="0"/>
          <w:numId w:val="1"/>
        </w:numPr>
        <w:ind w:left="426" w:hanging="426"/>
        <w:jc w:val="both"/>
      </w:pPr>
      <w:r>
        <w:t xml:space="preserve">Vienošanos par parāda atmaksu daļās var noslēgt </w:t>
      </w:r>
      <w:r w:rsidR="00CC5DF2">
        <w:t xml:space="preserve">arī pēc Debitora iniciatīvas </w:t>
      </w:r>
      <w:r>
        <w:t xml:space="preserve">pirms atgādinājuma vēstules par uzkrāto </w:t>
      </w:r>
      <w:r w:rsidR="00CC5DF2">
        <w:t xml:space="preserve">kopējo </w:t>
      </w:r>
      <w:r>
        <w:t>parādu.</w:t>
      </w:r>
    </w:p>
    <w:p w:rsidR="00A144D9" w:rsidRDefault="00A144D9" w:rsidP="00A26AF8">
      <w:pPr>
        <w:pStyle w:val="Sarakstarindkopa"/>
        <w:numPr>
          <w:ilvl w:val="0"/>
          <w:numId w:val="1"/>
        </w:numPr>
        <w:ind w:left="426" w:hanging="426"/>
        <w:jc w:val="both"/>
      </w:pPr>
      <w:r>
        <w:t xml:space="preserve">Vienošanos par parāda atmaksu daļās var noslēgt pēc </w:t>
      </w:r>
      <w:r w:rsidR="00CC5DF2">
        <w:t>atgādinājuma vai p</w:t>
      </w:r>
      <w:r>
        <w:t xml:space="preserve">irmstiesas brīdinājuma, ar nosacījumu, ka Debitora </w:t>
      </w:r>
      <w:r w:rsidR="004F72F9">
        <w:t xml:space="preserve">lietā </w:t>
      </w:r>
      <w:r w:rsidR="00CC5DF2">
        <w:t xml:space="preserve">par konkrēto pamatparādu (kavējuma termiņš) </w:t>
      </w:r>
      <w:r w:rsidR="004F72F9">
        <w:t xml:space="preserve"> V</w:t>
      </w:r>
      <w:r>
        <w:t xml:space="preserve">ienošanās iepriekš nav </w:t>
      </w:r>
      <w:r w:rsidR="00CC5DF2">
        <w:t>bijusi noslēgta</w:t>
      </w:r>
      <w:r>
        <w:t>.</w:t>
      </w:r>
    </w:p>
    <w:p w:rsidR="00155F60" w:rsidRDefault="00A144D9" w:rsidP="00A26AF8">
      <w:pPr>
        <w:pStyle w:val="Sarakstarindkopa"/>
        <w:numPr>
          <w:ilvl w:val="0"/>
          <w:numId w:val="1"/>
        </w:numPr>
        <w:ind w:left="426" w:hanging="426"/>
        <w:jc w:val="both"/>
      </w:pPr>
      <w:r>
        <w:t xml:space="preserve">Vienošanos par parāda atmaksu daļās var </w:t>
      </w:r>
      <w:r w:rsidR="007323F4">
        <w:t>no</w:t>
      </w:r>
      <w:r>
        <w:t xml:space="preserve">slēgt </w:t>
      </w:r>
      <w:r w:rsidR="00562A1D">
        <w:t xml:space="preserve">arī </w:t>
      </w:r>
      <w:r>
        <w:t xml:space="preserve">pēc </w:t>
      </w:r>
      <w:r w:rsidR="00CC5DF2">
        <w:t xml:space="preserve">tiesas </w:t>
      </w:r>
      <w:r w:rsidR="00562A1D">
        <w:t>no</w:t>
      </w:r>
      <w:r w:rsidR="00A26621">
        <w:t xml:space="preserve">lēmuma lietā par </w:t>
      </w:r>
      <w:r w:rsidR="00562A1D">
        <w:t>Uzņēmuma prasījuma (neatkarīgi no tiesvedības formas) par parāda piedziņu no Debitora apmierināšanu</w:t>
      </w:r>
      <w:r w:rsidR="007323F4">
        <w:t>,</w:t>
      </w:r>
      <w:r w:rsidR="00155F60" w:rsidRPr="00155F60">
        <w:t xml:space="preserve"> </w:t>
      </w:r>
      <w:r w:rsidR="00155F60">
        <w:t xml:space="preserve">ar nosacījumu, ka </w:t>
      </w:r>
      <w:r w:rsidR="00562A1D">
        <w:t xml:space="preserve">ar </w:t>
      </w:r>
      <w:r w:rsidR="00155F60">
        <w:t>Debitor</w:t>
      </w:r>
      <w:r w:rsidR="00562A1D">
        <w:t>u</w:t>
      </w:r>
      <w:r w:rsidR="00F979E2">
        <w:t xml:space="preserve"> </w:t>
      </w:r>
      <w:r w:rsidR="00562A1D">
        <w:t>iepriekš</w:t>
      </w:r>
      <w:r w:rsidR="00155F60">
        <w:t xml:space="preserve"> </w:t>
      </w:r>
      <w:r w:rsidR="004F72F9">
        <w:t>V</w:t>
      </w:r>
      <w:r w:rsidR="00155F60">
        <w:t xml:space="preserve">ienošanās nav </w:t>
      </w:r>
      <w:r w:rsidR="007323F4">
        <w:t>bijusi slēgta</w:t>
      </w:r>
      <w:r w:rsidR="00562A1D">
        <w:t xml:space="preserve"> vai iepriekš slēgtās vienošanās Debitors ir pilnībā izpildījis.</w:t>
      </w:r>
    </w:p>
    <w:p w:rsidR="00155F60" w:rsidRPr="001E62F4" w:rsidRDefault="00A26621" w:rsidP="00A26AF8">
      <w:pPr>
        <w:pStyle w:val="Sarakstarindkopa"/>
        <w:numPr>
          <w:ilvl w:val="0"/>
          <w:numId w:val="1"/>
        </w:numPr>
        <w:ind w:left="426" w:hanging="426"/>
        <w:jc w:val="both"/>
      </w:pPr>
      <w:r w:rsidRPr="001E62F4">
        <w:t>Vienošanos par parāda atmaksu daļās</w:t>
      </w:r>
      <w:r w:rsidR="00155F60" w:rsidRPr="001E62F4">
        <w:t xml:space="preserve"> neslēdz, ja Debito</w:t>
      </w:r>
      <w:r w:rsidR="000F5684">
        <w:t>ra</w:t>
      </w:r>
      <w:r w:rsidR="00155F60" w:rsidRPr="001E62F4">
        <w:t xml:space="preserve"> lieta ir nodota ZTI</w:t>
      </w:r>
      <w:r w:rsidRPr="001E62F4">
        <w:t xml:space="preserve"> tiesas </w:t>
      </w:r>
      <w:r w:rsidR="000F5684">
        <w:t>no</w:t>
      </w:r>
      <w:r w:rsidR="004F72F9">
        <w:t>lēmuma</w:t>
      </w:r>
      <w:r w:rsidRPr="001E62F4">
        <w:t xml:space="preserve"> izpildei.</w:t>
      </w:r>
    </w:p>
    <w:p w:rsidR="002F5928" w:rsidRPr="001E62F4" w:rsidRDefault="002F5928" w:rsidP="002F5928">
      <w:pPr>
        <w:pStyle w:val="Sarakstarindkopa"/>
        <w:tabs>
          <w:tab w:val="left" w:pos="2787"/>
        </w:tabs>
        <w:ind w:left="426"/>
        <w:jc w:val="both"/>
      </w:pPr>
      <w:r w:rsidRPr="001E62F4">
        <w:tab/>
      </w:r>
    </w:p>
    <w:p w:rsidR="002F5928" w:rsidRDefault="002F5928" w:rsidP="00C252FC">
      <w:pPr>
        <w:pStyle w:val="Sarakstarindkopa"/>
        <w:tabs>
          <w:tab w:val="left" w:pos="2787"/>
        </w:tabs>
        <w:spacing w:after="120"/>
        <w:ind w:left="425"/>
        <w:contextualSpacing w:val="0"/>
        <w:jc w:val="center"/>
        <w:rPr>
          <w:highlight w:val="yellow"/>
        </w:rPr>
      </w:pPr>
      <w:r w:rsidRPr="00C252FC">
        <w:rPr>
          <w:b/>
        </w:rPr>
        <w:t xml:space="preserve">IV Vienošanās nosacījumi par parāda atmaksu daļās </w:t>
      </w:r>
    </w:p>
    <w:p w:rsidR="001E62F4" w:rsidRDefault="001E62F4" w:rsidP="00A26AF8">
      <w:pPr>
        <w:pStyle w:val="Sarakstarindkopa"/>
        <w:numPr>
          <w:ilvl w:val="0"/>
          <w:numId w:val="1"/>
        </w:numPr>
        <w:tabs>
          <w:tab w:val="left" w:pos="2787"/>
        </w:tabs>
        <w:spacing w:after="120"/>
        <w:ind w:left="425" w:hanging="425"/>
        <w:contextualSpacing w:val="0"/>
        <w:jc w:val="both"/>
      </w:pPr>
      <w:r>
        <w:t xml:space="preserve">Ja Debitors vēlas </w:t>
      </w:r>
      <w:r w:rsidR="00B86758">
        <w:t xml:space="preserve">vienoties par </w:t>
      </w:r>
      <w:r>
        <w:t xml:space="preserve">parāda atmaksu daļās, tad tam ir jāuzraksta iesniegums, ar lūgumu sadalīt </w:t>
      </w:r>
      <w:r w:rsidR="00B86758">
        <w:t xml:space="preserve">kopējo </w:t>
      </w:r>
      <w:r>
        <w:t>parādu daļās un pagarināt atmaksas termiņu</w:t>
      </w:r>
      <w:r w:rsidR="00B86758">
        <w:t>.</w:t>
      </w:r>
      <w:r w:rsidR="00C0322E">
        <w:t xml:space="preserve"> </w:t>
      </w:r>
    </w:p>
    <w:p w:rsidR="001E62F4" w:rsidRDefault="001E62F4" w:rsidP="00A26AF8">
      <w:pPr>
        <w:pStyle w:val="Sarakstarindkopa"/>
        <w:numPr>
          <w:ilvl w:val="0"/>
          <w:numId w:val="1"/>
        </w:numPr>
        <w:tabs>
          <w:tab w:val="left" w:pos="2787"/>
        </w:tabs>
        <w:spacing w:after="120"/>
        <w:ind w:left="425" w:hanging="425"/>
        <w:contextualSpacing w:val="0"/>
        <w:jc w:val="both"/>
      </w:pPr>
      <w:r>
        <w:t>Ja Debitora iesniegums tiek noraidīts, tad par negatīva lēmuma pamatojumu ir jāsniedz atbilde rakstveidā</w:t>
      </w:r>
      <w:r w:rsidR="00AF57C1">
        <w:t>.</w:t>
      </w:r>
    </w:p>
    <w:p w:rsidR="002F5928" w:rsidRPr="002F5928" w:rsidRDefault="00A26AF8" w:rsidP="00A26AF8">
      <w:pPr>
        <w:pStyle w:val="Sarakstarindkopa"/>
        <w:numPr>
          <w:ilvl w:val="0"/>
          <w:numId w:val="1"/>
        </w:numPr>
        <w:tabs>
          <w:tab w:val="left" w:pos="2787"/>
        </w:tabs>
        <w:spacing w:after="120"/>
        <w:ind w:left="425" w:hanging="425"/>
        <w:contextualSpacing w:val="0"/>
        <w:jc w:val="both"/>
      </w:pPr>
      <w:r>
        <w:t xml:space="preserve">Noslēdzot Vienošanos, tiek sastādīts parāda atmaksas grafiks un atbilstoši </w:t>
      </w:r>
      <w:r w:rsidR="00B86758">
        <w:t xml:space="preserve">kopējā </w:t>
      </w:r>
      <w:r>
        <w:t>parāda lielumam noteikts parāda atmaksas termiņš</w:t>
      </w:r>
      <w:r w:rsidR="002F5928" w:rsidRPr="002F5928">
        <w:t>:</w:t>
      </w:r>
    </w:p>
    <w:p w:rsidR="002F5928" w:rsidRDefault="00B86758" w:rsidP="002F5928">
      <w:pPr>
        <w:pStyle w:val="Sarakstarindkopa"/>
        <w:numPr>
          <w:ilvl w:val="1"/>
          <w:numId w:val="1"/>
        </w:numPr>
        <w:tabs>
          <w:tab w:val="left" w:pos="2787"/>
        </w:tabs>
        <w:ind w:left="1985" w:hanging="709"/>
        <w:jc w:val="both"/>
      </w:pPr>
      <w:r>
        <w:t>Kopējā p</w:t>
      </w:r>
      <w:r w:rsidR="001062B2">
        <w:t>arāda apmērs ne</w:t>
      </w:r>
      <w:r w:rsidR="002F5928">
        <w:t xml:space="preserve">pārsniedz </w:t>
      </w:r>
      <w:r w:rsidR="001062B2">
        <w:t>10</w:t>
      </w:r>
      <w:r w:rsidR="002F5928">
        <w:t>0</w:t>
      </w:r>
      <w:r w:rsidR="005C6071">
        <w:t>,00</w:t>
      </w:r>
      <w:r w:rsidR="002F5928">
        <w:t xml:space="preserve"> EUR</w:t>
      </w:r>
      <w:r w:rsidR="005C6071">
        <w:t xml:space="preserve"> </w:t>
      </w:r>
      <w:r w:rsidR="004F72F9">
        <w:t xml:space="preserve">– </w:t>
      </w:r>
      <w:r w:rsidR="00A54A92">
        <w:t>līdz 4 (četriem) kalendāra mēnešiem</w:t>
      </w:r>
      <w:r w:rsidR="00A26AF8">
        <w:t>;</w:t>
      </w:r>
    </w:p>
    <w:p w:rsidR="002F5928" w:rsidRDefault="00B86758" w:rsidP="002F5928">
      <w:pPr>
        <w:pStyle w:val="Sarakstarindkopa"/>
        <w:numPr>
          <w:ilvl w:val="1"/>
          <w:numId w:val="1"/>
        </w:numPr>
        <w:tabs>
          <w:tab w:val="left" w:pos="2787"/>
        </w:tabs>
        <w:ind w:left="1985" w:hanging="709"/>
        <w:jc w:val="both"/>
      </w:pPr>
      <w:r>
        <w:lastRenderedPageBreak/>
        <w:t>Kopējā p</w:t>
      </w:r>
      <w:r w:rsidR="001062B2">
        <w:t>arāda apmērs 1</w:t>
      </w:r>
      <w:r w:rsidR="002F5928">
        <w:t>0</w:t>
      </w:r>
      <w:r w:rsidR="001062B2">
        <w:t>1</w:t>
      </w:r>
      <w:r w:rsidR="005C6071">
        <w:t>,00</w:t>
      </w:r>
      <w:r w:rsidR="00836879">
        <w:t xml:space="preserve"> </w:t>
      </w:r>
      <w:r w:rsidR="005C6071">
        <w:t>-</w:t>
      </w:r>
      <w:r w:rsidR="00836879">
        <w:t xml:space="preserve"> </w:t>
      </w:r>
      <w:r w:rsidR="001062B2">
        <w:t>200</w:t>
      </w:r>
      <w:r w:rsidR="005C6071">
        <w:t>,00</w:t>
      </w:r>
      <w:r w:rsidR="002F5928">
        <w:t xml:space="preserve"> EUR – līdz </w:t>
      </w:r>
      <w:r w:rsidR="001062B2">
        <w:t>6 (sešiem) kalendāra mēnešiem;</w:t>
      </w:r>
    </w:p>
    <w:p w:rsidR="00000000" w:rsidRDefault="00B86758">
      <w:pPr>
        <w:pStyle w:val="Sarakstarindkopa"/>
        <w:tabs>
          <w:tab w:val="left" w:pos="2787"/>
        </w:tabs>
        <w:ind w:left="1985"/>
        <w:jc w:val="both"/>
      </w:pPr>
      <w:r>
        <w:t>Kopējā p</w:t>
      </w:r>
      <w:r w:rsidR="001062B2">
        <w:t>arāda apmērs 201</w:t>
      </w:r>
      <w:r w:rsidR="005C6071">
        <w:t>,00</w:t>
      </w:r>
      <w:r w:rsidR="00836879">
        <w:t xml:space="preserve"> </w:t>
      </w:r>
      <w:r w:rsidR="001062B2">
        <w:t>-</w:t>
      </w:r>
      <w:r w:rsidR="00836879">
        <w:t xml:space="preserve"> </w:t>
      </w:r>
      <w:r w:rsidR="001062B2">
        <w:t>400</w:t>
      </w:r>
      <w:r w:rsidR="005C6071">
        <w:t>,00</w:t>
      </w:r>
      <w:r w:rsidR="001062B2">
        <w:t xml:space="preserve"> EUR – līdz 12 (divpadsmit) kalendāra mēnešiem;</w:t>
      </w:r>
    </w:p>
    <w:p w:rsidR="001062B2" w:rsidRDefault="00B86758" w:rsidP="002F5928">
      <w:pPr>
        <w:pStyle w:val="Sarakstarindkopa"/>
        <w:numPr>
          <w:ilvl w:val="1"/>
          <w:numId w:val="1"/>
        </w:numPr>
        <w:tabs>
          <w:tab w:val="left" w:pos="2787"/>
        </w:tabs>
        <w:ind w:left="1985" w:hanging="709"/>
        <w:jc w:val="both"/>
      </w:pPr>
      <w:r>
        <w:t>Kopējā p</w:t>
      </w:r>
      <w:r w:rsidR="001062B2">
        <w:t>arāda apmērs</w:t>
      </w:r>
      <w:r w:rsidR="001E62F4">
        <w:t xml:space="preserve"> pārsniedz</w:t>
      </w:r>
      <w:r w:rsidR="001062B2">
        <w:t xml:space="preserve"> </w:t>
      </w:r>
      <w:r w:rsidR="001E62F4">
        <w:t>401,00 EUR – līdz 24 (divdesmit četri</w:t>
      </w:r>
      <w:r w:rsidR="001062B2">
        <w:t>) kalendāra mēnešiem;</w:t>
      </w:r>
    </w:p>
    <w:p w:rsidR="005C6071" w:rsidRDefault="005C6071" w:rsidP="002F5928">
      <w:pPr>
        <w:pStyle w:val="Sarakstarindkopa"/>
        <w:numPr>
          <w:ilvl w:val="1"/>
          <w:numId w:val="1"/>
        </w:numPr>
        <w:tabs>
          <w:tab w:val="left" w:pos="2787"/>
        </w:tabs>
        <w:ind w:left="1985" w:hanging="709"/>
        <w:jc w:val="both"/>
      </w:pPr>
      <w:r>
        <w:t>Ja personai ir trūcīgā vai maznodrošinātā statuss, vai cilvēks ar īpašām vajadzībām un parāda apmērs pārsniedz 40</w:t>
      </w:r>
      <w:r w:rsidR="001E62F4">
        <w:t>1</w:t>
      </w:r>
      <w:r>
        <w:t xml:space="preserve">,00 EUR, maksimālais atmaksas termiņš tā atmaksai </w:t>
      </w:r>
      <w:r w:rsidR="00B86758">
        <w:t>var t</w:t>
      </w:r>
      <w:r>
        <w:t>ik</w:t>
      </w:r>
      <w:r w:rsidR="00B86758">
        <w:t>t</w:t>
      </w:r>
      <w:r>
        <w:t xml:space="preserve"> noteikts </w:t>
      </w:r>
      <w:r w:rsidR="00FB003E">
        <w:t>36</w:t>
      </w:r>
      <w:r w:rsidR="001E62F4">
        <w:t xml:space="preserve"> (</w:t>
      </w:r>
      <w:r w:rsidR="00FB003E">
        <w:t>trīsdesmit seši</w:t>
      </w:r>
      <w:r w:rsidR="001E62F4">
        <w:t xml:space="preserve">) </w:t>
      </w:r>
      <w:r>
        <w:t>kalendāra mēneši.</w:t>
      </w:r>
    </w:p>
    <w:p w:rsidR="005C6071" w:rsidRDefault="005C6071" w:rsidP="00A26AF8">
      <w:pPr>
        <w:pStyle w:val="Sarakstarindkopa"/>
        <w:numPr>
          <w:ilvl w:val="0"/>
          <w:numId w:val="1"/>
        </w:numPr>
        <w:tabs>
          <w:tab w:val="left" w:pos="2787"/>
        </w:tabs>
        <w:ind w:left="426" w:hanging="426"/>
        <w:jc w:val="both"/>
      </w:pPr>
      <w:r>
        <w:t>N</w:t>
      </w:r>
      <w:r w:rsidR="004F72F9">
        <w:t>oslēdzot V</w:t>
      </w:r>
      <w:r>
        <w:t>ienošanos par parāda atmaksu daļās, ikmēneša maksājums nevar būt mazāks par EUR 15,00</w:t>
      </w:r>
      <w:r w:rsidR="00EF4A59">
        <w:t xml:space="preserve"> </w:t>
      </w:r>
      <w:r>
        <w:t xml:space="preserve">(piecpadsmit eiro un 00 centi), izņemot šīs instrukcijas </w:t>
      </w:r>
      <w:r w:rsidR="001E62F4">
        <w:t>2</w:t>
      </w:r>
      <w:r w:rsidR="00B86758">
        <w:t>3</w:t>
      </w:r>
      <w:r w:rsidR="00811018">
        <w:t>.</w:t>
      </w:r>
      <w:r w:rsidR="00B86758">
        <w:t>4</w:t>
      </w:r>
      <w:r>
        <w:t>. punktā minēto gadījumu.</w:t>
      </w:r>
    </w:p>
    <w:p w:rsidR="005C6071" w:rsidRDefault="005C6071" w:rsidP="00A26AF8">
      <w:pPr>
        <w:pStyle w:val="Sarakstarindkopa"/>
        <w:numPr>
          <w:ilvl w:val="0"/>
          <w:numId w:val="1"/>
        </w:numPr>
        <w:tabs>
          <w:tab w:val="left" w:pos="2787"/>
        </w:tabs>
        <w:ind w:left="426" w:hanging="426"/>
        <w:jc w:val="both"/>
      </w:pPr>
      <w:r>
        <w:t xml:space="preserve">Parāda ikmēneša  maksājuma apmērs var būt mainīgs: apkures sezonas periodā mazāks, bet </w:t>
      </w:r>
      <w:r w:rsidR="00A26AF8">
        <w:t>starp apkures</w:t>
      </w:r>
      <w:r>
        <w:t xml:space="preserve"> laikā lielāks. Par to vienojas</w:t>
      </w:r>
      <w:r w:rsidR="00A26AF8">
        <w:t xml:space="preserve"> ar Debitoru,</w:t>
      </w:r>
      <w:r>
        <w:t xml:space="preserve"> sastādot maksājuma grafiku</w:t>
      </w:r>
      <w:r w:rsidR="00A26AF8">
        <w:t>.</w:t>
      </w:r>
    </w:p>
    <w:p w:rsidR="00070DD1" w:rsidRPr="002F5928" w:rsidRDefault="005645C2" w:rsidP="00A26AF8">
      <w:pPr>
        <w:pStyle w:val="Sarakstarindkopa"/>
        <w:numPr>
          <w:ilvl w:val="0"/>
          <w:numId w:val="1"/>
        </w:numPr>
        <w:tabs>
          <w:tab w:val="left" w:pos="2787"/>
        </w:tabs>
        <w:ind w:left="426" w:hanging="426"/>
        <w:jc w:val="both"/>
      </w:pPr>
      <w:r>
        <w:t xml:space="preserve">Gadījumos, ja Debitora parādu pārņem tā mantinieks, </w:t>
      </w:r>
      <w:r w:rsidR="00374443">
        <w:t>Uzņēmums</w:t>
      </w:r>
      <w:r>
        <w:t xml:space="preserve"> </w:t>
      </w:r>
      <w:r w:rsidR="00374443">
        <w:t xml:space="preserve">ir tiesīgs gadījumu izvērtēt individuāli un </w:t>
      </w:r>
      <w:r w:rsidR="00BD4AE9">
        <w:t>vienoties par samaksas grafiku, kas neatbilst 23.punktā noteiktajam</w:t>
      </w:r>
      <w:r>
        <w:t>.</w:t>
      </w:r>
    </w:p>
    <w:p w:rsidR="002F5928" w:rsidRPr="007323F4" w:rsidRDefault="002F5928" w:rsidP="002F5928">
      <w:pPr>
        <w:pStyle w:val="Sarakstarindkopa"/>
        <w:ind w:left="426"/>
        <w:jc w:val="both"/>
        <w:rPr>
          <w:highlight w:val="yellow"/>
        </w:rPr>
      </w:pPr>
    </w:p>
    <w:p w:rsidR="00D505EF" w:rsidRPr="00D505EF" w:rsidRDefault="002F5928" w:rsidP="00C252FC">
      <w:pPr>
        <w:pStyle w:val="Sarakstarindkopa"/>
        <w:spacing w:after="120"/>
        <w:ind w:left="426" w:hanging="284"/>
        <w:contextualSpacing w:val="0"/>
        <w:jc w:val="center"/>
        <w:rPr>
          <w:b/>
        </w:rPr>
      </w:pPr>
      <w:r w:rsidRPr="002F5928">
        <w:rPr>
          <w:b/>
        </w:rPr>
        <w:t>V</w:t>
      </w:r>
      <w:r w:rsidR="00D505EF" w:rsidRPr="002F5928">
        <w:rPr>
          <w:b/>
        </w:rPr>
        <w:t xml:space="preserve"> Debitora parāda piedziņa tiesā</w:t>
      </w:r>
    </w:p>
    <w:p w:rsidR="00D505EF" w:rsidRDefault="00815D1C" w:rsidP="00D505EF">
      <w:pPr>
        <w:pStyle w:val="Sarakstarindkopa"/>
        <w:numPr>
          <w:ilvl w:val="0"/>
          <w:numId w:val="1"/>
        </w:numPr>
        <w:ind w:left="426" w:hanging="426"/>
        <w:jc w:val="both"/>
      </w:pPr>
      <w:r>
        <w:t xml:space="preserve">Ja Debitors </w:t>
      </w:r>
      <w:r w:rsidR="00BC2B7D">
        <w:t>labprātīgi nepilda savas saistības</w:t>
      </w:r>
      <w:r w:rsidR="00B86758">
        <w:t xml:space="preserve"> vai arī nepilda noslēgto Vienošanos</w:t>
      </w:r>
      <w:r w:rsidR="00BC2B7D">
        <w:t>, lieta tiek sagatavota parāda piedziņai tiesā</w:t>
      </w:r>
      <w:r>
        <w:t xml:space="preserve">, </w:t>
      </w:r>
      <w:r w:rsidR="00BC2B7D">
        <w:t>ievērojot sekojošus kritērijus:</w:t>
      </w:r>
    </w:p>
    <w:p w:rsidR="00BC2B7D" w:rsidRDefault="00B86758" w:rsidP="004632AF">
      <w:pPr>
        <w:pStyle w:val="Sarakstarindkopa"/>
        <w:numPr>
          <w:ilvl w:val="1"/>
          <w:numId w:val="1"/>
        </w:numPr>
        <w:ind w:left="1985" w:hanging="709"/>
        <w:jc w:val="both"/>
      </w:pPr>
      <w:r>
        <w:t>Kopējais p</w:t>
      </w:r>
      <w:r w:rsidR="00BC2B7D">
        <w:t xml:space="preserve">arāda apmērs </w:t>
      </w:r>
      <w:r>
        <w:t xml:space="preserve">līdz </w:t>
      </w:r>
      <w:r w:rsidR="00A54A92">
        <w:t>15</w:t>
      </w:r>
      <w:r>
        <w:t>00</w:t>
      </w:r>
      <w:r w:rsidR="00A54A92">
        <w:t>0</w:t>
      </w:r>
      <w:r w:rsidR="00836879" w:rsidRPr="00836879">
        <w:t>,00</w:t>
      </w:r>
      <w:r w:rsidR="00BC2B7D" w:rsidRPr="00836879">
        <w:t xml:space="preserve"> EUR</w:t>
      </w:r>
      <w:r>
        <w:t xml:space="preserve">, Debitors atrodas </w:t>
      </w:r>
      <w:r w:rsidR="00442ACF">
        <w:t xml:space="preserve">un tam ir deklarētā dzīves vieta </w:t>
      </w:r>
      <w:r>
        <w:t>Latvijā</w:t>
      </w:r>
      <w:r w:rsidR="00811018">
        <w:t xml:space="preserve">, </w:t>
      </w:r>
      <w:r w:rsidR="00F82832">
        <w:t xml:space="preserve">attiecībā uz </w:t>
      </w:r>
      <w:r>
        <w:t>konkrēt</w:t>
      </w:r>
      <w:r w:rsidR="00F82832">
        <w:t>o</w:t>
      </w:r>
      <w:r>
        <w:t xml:space="preserve"> Debitor</w:t>
      </w:r>
      <w:r w:rsidR="00F82832">
        <w:t>u</w:t>
      </w:r>
      <w:r>
        <w:t xml:space="preserve"> iepriekš nav bijuši tiesas </w:t>
      </w:r>
      <w:r w:rsidR="00F82832">
        <w:t>no</w:t>
      </w:r>
      <w:r>
        <w:t>lēmumi par prasības atstāšanu bez izskatīšanas, jo beidzies paziņojuma glabāšanas termiņš pastā</w:t>
      </w:r>
      <w:r w:rsidR="00BC2B7D">
        <w:t xml:space="preserve"> –  pieteikum</w:t>
      </w:r>
      <w:r>
        <w:t>s</w:t>
      </w:r>
      <w:r w:rsidR="00BC2B7D">
        <w:t xml:space="preserve"> par saistību izpildīšanu brīdinājuma kārtībā  saskaņā ar CPL normām;</w:t>
      </w:r>
    </w:p>
    <w:p w:rsidR="00B86758" w:rsidRDefault="00B86758" w:rsidP="004632AF">
      <w:pPr>
        <w:pStyle w:val="Sarakstarindkopa"/>
        <w:numPr>
          <w:ilvl w:val="1"/>
          <w:numId w:val="1"/>
        </w:numPr>
        <w:ind w:left="1985" w:hanging="709"/>
        <w:jc w:val="both"/>
      </w:pPr>
      <w:r>
        <w:t>Kopējais p</w:t>
      </w:r>
      <w:r w:rsidR="00BC2B7D">
        <w:t xml:space="preserve">arāda apmērs </w:t>
      </w:r>
      <w:r>
        <w:t xml:space="preserve">līdz </w:t>
      </w:r>
      <w:r w:rsidR="00BC2B7D" w:rsidRPr="00836879">
        <w:t xml:space="preserve"> </w:t>
      </w:r>
      <w:r>
        <w:t>2</w:t>
      </w:r>
      <w:r w:rsidR="00A54A92">
        <w:t>5</w:t>
      </w:r>
      <w:r>
        <w:t>0</w:t>
      </w:r>
      <w:r w:rsidR="00A54A92">
        <w:t>0</w:t>
      </w:r>
      <w:r w:rsidR="00BC2B7D" w:rsidRPr="00836879">
        <w:t>,00 EUR</w:t>
      </w:r>
      <w:r w:rsidR="00BC2B7D">
        <w:t xml:space="preserve"> – </w:t>
      </w:r>
      <w:r>
        <w:t>vienkāršotās procedūras prasība</w:t>
      </w:r>
      <w:r w:rsidR="00BC2B7D">
        <w:t>, saskaņā ar CPL normām</w:t>
      </w:r>
      <w:r>
        <w:t>;</w:t>
      </w:r>
    </w:p>
    <w:p w:rsidR="00BC2B7D" w:rsidRDefault="00275D4C" w:rsidP="004632AF">
      <w:pPr>
        <w:pStyle w:val="Sarakstarindkopa"/>
        <w:numPr>
          <w:ilvl w:val="1"/>
          <w:numId w:val="1"/>
        </w:numPr>
        <w:ind w:left="1985" w:hanging="709"/>
        <w:jc w:val="both"/>
      </w:pPr>
      <w:r>
        <w:t>Kopējais par</w:t>
      </w:r>
      <w:r w:rsidR="0033570A">
        <w:t>ā</w:t>
      </w:r>
      <w:r w:rsidR="00B86758">
        <w:t>da apmērs pārsniedz 2500,00 EUR – prasības pieteikums, saskaņā ar CPL normām.</w:t>
      </w:r>
    </w:p>
    <w:p w:rsidR="00A144D9" w:rsidRDefault="00B86758" w:rsidP="00D505EF">
      <w:pPr>
        <w:pStyle w:val="Sarakstarindkopa"/>
        <w:numPr>
          <w:ilvl w:val="0"/>
          <w:numId w:val="1"/>
        </w:numPr>
        <w:ind w:left="426" w:hanging="426"/>
        <w:jc w:val="both"/>
      </w:pPr>
      <w:r>
        <w:t>Pieteikums</w:t>
      </w:r>
      <w:r w:rsidR="00A144D9">
        <w:t xml:space="preserve"> </w:t>
      </w:r>
      <w:r>
        <w:t xml:space="preserve">par saistību piespiedu izpildi brīdinājuma kārtībā </w:t>
      </w:r>
      <w:r w:rsidR="00A144D9">
        <w:t>atstāt</w:t>
      </w:r>
      <w:r>
        <w:t>s</w:t>
      </w:r>
      <w:r w:rsidR="00A144D9">
        <w:t xml:space="preserve"> bez izskatīšanas</w:t>
      </w:r>
      <w:r w:rsidR="00836879">
        <w:t xml:space="preserve"> </w:t>
      </w:r>
      <w:r w:rsidR="00A144D9">
        <w:t>(nav piegādāts debitoram, debitors neatzīst)</w:t>
      </w:r>
      <w:r w:rsidR="00D63F0D">
        <w:t>, lieta tiek gatavota iesniegšanai tiesā prasī</w:t>
      </w:r>
      <w:r w:rsidR="004F72F9">
        <w:t>juma tiesvedības</w:t>
      </w:r>
      <w:r w:rsidR="00D63F0D">
        <w:t xml:space="preserve"> kārtībā, saskaņā ar CPL normām</w:t>
      </w:r>
      <w:r>
        <w:t>, saskaņā ar 2</w:t>
      </w:r>
      <w:r w:rsidR="001331B3">
        <w:t>7</w:t>
      </w:r>
      <w:r>
        <w:t>.2 un 2</w:t>
      </w:r>
      <w:r w:rsidR="001331B3">
        <w:t>7</w:t>
      </w:r>
      <w:r>
        <w:t>.3. punktu kritērijiem</w:t>
      </w:r>
      <w:r w:rsidR="00763EE5">
        <w:t>.</w:t>
      </w:r>
    </w:p>
    <w:p w:rsidR="00C424F3" w:rsidRDefault="00C424F3" w:rsidP="00D505EF">
      <w:pPr>
        <w:pStyle w:val="Sarakstarindkopa"/>
        <w:numPr>
          <w:ilvl w:val="0"/>
          <w:numId w:val="1"/>
        </w:numPr>
        <w:ind w:left="426" w:hanging="426"/>
        <w:jc w:val="both"/>
      </w:pPr>
      <w:r>
        <w:t>Pēc labvēlīga  tiesas nolēmuma spēkā stāšanās un noteiktā</w:t>
      </w:r>
      <w:r w:rsidR="00B86758">
        <w:t xml:space="preserve"> labprātīgas </w:t>
      </w:r>
      <w:r>
        <w:t xml:space="preserve"> izpildes termiņa notecējuma, Debitoram tiek nosūtīta </w:t>
      </w:r>
      <w:r w:rsidR="00B86758">
        <w:t>informatīva</w:t>
      </w:r>
      <w:r>
        <w:t xml:space="preserve"> vēstule par </w:t>
      </w:r>
      <w:r w:rsidR="00B86758">
        <w:t xml:space="preserve">tiesas nolēmumu un iespēju piedzīto </w:t>
      </w:r>
      <w:r>
        <w:t>parād</w:t>
      </w:r>
      <w:r w:rsidR="00B86758">
        <w:t>u</w:t>
      </w:r>
      <w:r>
        <w:t xml:space="preserve"> atmaks</w:t>
      </w:r>
      <w:r w:rsidR="00B86758">
        <w:t>āt vai noslēgt Vienošanos par samaksu daļās</w:t>
      </w:r>
      <w:r>
        <w:t xml:space="preserve">, </w:t>
      </w:r>
      <w:r w:rsidR="00B86758">
        <w:t xml:space="preserve">dodot Debitoram 15 (piecpadsmit) dienu termiņu, papildus norādot, </w:t>
      </w:r>
      <w:r>
        <w:t>ka nolēmums tiks nodots ZTI piespiedu izpildei, saskaņā ar CPL normām.</w:t>
      </w:r>
    </w:p>
    <w:p w:rsidR="00A144D9" w:rsidRDefault="00BC2B7D" w:rsidP="00D505EF">
      <w:pPr>
        <w:pStyle w:val="Sarakstarindkopa"/>
        <w:numPr>
          <w:ilvl w:val="0"/>
          <w:numId w:val="1"/>
        </w:numPr>
        <w:ind w:left="426" w:hanging="426"/>
        <w:jc w:val="both"/>
      </w:pPr>
      <w:r>
        <w:t>Ja</w:t>
      </w:r>
      <w:r w:rsidR="004632AF">
        <w:t xml:space="preserve"> </w:t>
      </w:r>
      <w:r w:rsidR="00B86758">
        <w:t>Debitors uz 2</w:t>
      </w:r>
      <w:r w:rsidR="00763EE5">
        <w:t>9</w:t>
      </w:r>
      <w:r w:rsidR="00B86758">
        <w:t>.punktā minēto inform</w:t>
      </w:r>
      <w:r w:rsidR="006B2AC9">
        <w:t>a</w:t>
      </w:r>
      <w:r w:rsidR="00B86758">
        <w:t>tīvo vēstuli nav re</w:t>
      </w:r>
      <w:r w:rsidR="0033570A">
        <w:t>a</w:t>
      </w:r>
      <w:r w:rsidR="00B86758">
        <w:t>ģ</w:t>
      </w:r>
      <w:r w:rsidR="006B2AC9">
        <w:t>ēj</w:t>
      </w:r>
      <w:r w:rsidR="00B86758">
        <w:t xml:space="preserve">is, parāds nav pilnībā nomaksāts un nav noslēgta Vienošanās lieta tiek </w:t>
      </w:r>
      <w:r w:rsidR="00D63F0D">
        <w:t xml:space="preserve"> nodot</w:t>
      </w:r>
      <w:r>
        <w:t>a</w:t>
      </w:r>
      <w:r w:rsidR="00A144D9">
        <w:t xml:space="preserve"> ZTI</w:t>
      </w:r>
      <w:r>
        <w:t>,</w:t>
      </w:r>
      <w:r w:rsidR="00A144D9">
        <w:t xml:space="preserve"> </w:t>
      </w:r>
      <w:r w:rsidR="004F72F9">
        <w:t xml:space="preserve">tiesas </w:t>
      </w:r>
      <w:r w:rsidR="00B86758">
        <w:t>no</w:t>
      </w:r>
      <w:r w:rsidR="004F72F9">
        <w:t>lēmuma</w:t>
      </w:r>
      <w:r w:rsidR="00A144D9">
        <w:t xml:space="preserve"> piespiedu izpildei</w:t>
      </w:r>
      <w:r w:rsidR="00D63F0D">
        <w:t>, saskaņā ar</w:t>
      </w:r>
      <w:r w:rsidR="00A144D9">
        <w:t xml:space="preserve"> CPL</w:t>
      </w:r>
      <w:r w:rsidR="00D63F0D">
        <w:t xml:space="preserve"> normām.</w:t>
      </w:r>
    </w:p>
    <w:p w:rsidR="004632AF" w:rsidRDefault="004632AF" w:rsidP="00D505EF">
      <w:pPr>
        <w:pStyle w:val="Sarakstarindkopa"/>
        <w:numPr>
          <w:ilvl w:val="0"/>
          <w:numId w:val="1"/>
        </w:numPr>
        <w:ind w:left="426" w:hanging="426"/>
        <w:jc w:val="both"/>
      </w:pPr>
      <w:r>
        <w:t>Ja</w:t>
      </w:r>
      <w:r w:rsidR="003F07B9">
        <w:t xml:space="preserve"> pēc tiesas nolēmuma</w:t>
      </w:r>
      <w:r>
        <w:t xml:space="preserve"> ir noslēgta vienošanās par parāda atmaksu daļās</w:t>
      </w:r>
      <w:r w:rsidR="00B86758">
        <w:t xml:space="preserve">, taču </w:t>
      </w:r>
      <w:r>
        <w:t xml:space="preserve"> Debitors to nepilda,  lieta tiek  nodota ZTI</w:t>
      </w:r>
      <w:r w:rsidR="004F72F9">
        <w:t xml:space="preserve"> nolēmuma piespiedu izpildei</w:t>
      </w:r>
      <w:r>
        <w:t>, saskaņā ar CPL normām.</w:t>
      </w:r>
    </w:p>
    <w:p w:rsidR="004E6025" w:rsidRDefault="004E6025" w:rsidP="004E6025">
      <w:pPr>
        <w:pStyle w:val="Sarakstarindkopa"/>
        <w:ind w:left="426"/>
        <w:jc w:val="both"/>
      </w:pPr>
    </w:p>
    <w:p w:rsidR="001B6C50" w:rsidRPr="002F5928" w:rsidRDefault="001B6C50" w:rsidP="00C252FC">
      <w:pPr>
        <w:spacing w:after="120" w:line="276" w:lineRule="auto"/>
        <w:jc w:val="center"/>
      </w:pPr>
      <w:r w:rsidRPr="001B6C50">
        <w:rPr>
          <w:b/>
        </w:rPr>
        <w:t>V</w:t>
      </w:r>
      <w:r w:rsidR="002F5928">
        <w:rPr>
          <w:b/>
        </w:rPr>
        <w:t>I</w:t>
      </w:r>
      <w:r w:rsidRPr="001B6C50">
        <w:rPr>
          <w:b/>
        </w:rPr>
        <w:t xml:space="preserve"> Lietvedības un administratīvā kārtība debitoru lietās</w:t>
      </w:r>
    </w:p>
    <w:p w:rsidR="0049068F" w:rsidRPr="0049068F" w:rsidRDefault="0049068F" w:rsidP="0068713F">
      <w:pPr>
        <w:pStyle w:val="Sarakstarindkopa"/>
        <w:numPr>
          <w:ilvl w:val="0"/>
          <w:numId w:val="1"/>
        </w:numPr>
        <w:ind w:left="426" w:hanging="426"/>
        <w:jc w:val="both"/>
      </w:pPr>
      <w:r>
        <w:t>Debitoru lietā izejošie</w:t>
      </w:r>
      <w:r w:rsidR="004632AF">
        <w:t>m</w:t>
      </w:r>
      <w:r>
        <w:t xml:space="preserve"> do</w:t>
      </w:r>
      <w:r w:rsidR="004632AF">
        <w:t xml:space="preserve">kumentiem tiek piešķirts numurs, </w:t>
      </w:r>
      <w:r>
        <w:t>saskaņā ar SIA</w:t>
      </w:r>
      <w:r w:rsidR="004632AF">
        <w:t xml:space="preserve"> </w:t>
      </w:r>
      <w:r>
        <w:t xml:space="preserve">”Kandavas komunālie pakalpojumi” </w:t>
      </w:r>
      <w:r w:rsidR="00406610">
        <w:t xml:space="preserve">lietvedības </w:t>
      </w:r>
      <w:r>
        <w:t xml:space="preserve">nomenklatūru. </w:t>
      </w:r>
    </w:p>
    <w:p w:rsidR="00B86758" w:rsidRDefault="0068713F" w:rsidP="0068713F">
      <w:pPr>
        <w:pStyle w:val="Sarakstarindkopa"/>
        <w:numPr>
          <w:ilvl w:val="0"/>
          <w:numId w:val="1"/>
        </w:numPr>
        <w:ind w:left="426" w:hanging="426"/>
        <w:jc w:val="both"/>
      </w:pPr>
      <w:r>
        <w:t>Deb</w:t>
      </w:r>
      <w:r w:rsidR="00625574">
        <w:t>it</w:t>
      </w:r>
      <w:r>
        <w:t xml:space="preserve">oru </w:t>
      </w:r>
      <w:r w:rsidR="00B86758">
        <w:t>parādu piedziņu pirmstiesas procesā, proti, atgādinājuma vēstuļu un pirmstiesas brīdinājumu sagatavošanu, izsūtīšanu un izpildes kontroli veic Biroja administrators. Biroja administrators informē Juristu par Debitoriem, kuru parādus nav izdevies atgūt ar pirmstiesas piedziņas līdzekļiem.</w:t>
      </w:r>
    </w:p>
    <w:p w:rsidR="00B86758" w:rsidRDefault="00B86758" w:rsidP="00B86758">
      <w:pPr>
        <w:pStyle w:val="Sarakstarindkopa"/>
        <w:numPr>
          <w:ilvl w:val="0"/>
          <w:numId w:val="1"/>
        </w:numPr>
        <w:ind w:left="426" w:hanging="426"/>
        <w:jc w:val="both"/>
      </w:pPr>
      <w:r>
        <w:t xml:space="preserve">Debitoru parādu piedziņu tiesvedības kārtībā veic  </w:t>
      </w:r>
      <w:r w:rsidR="00406610">
        <w:t>J</w:t>
      </w:r>
      <w:r>
        <w:t>urists.</w:t>
      </w:r>
    </w:p>
    <w:p w:rsidR="0068713F" w:rsidRDefault="00B86758" w:rsidP="00B86758">
      <w:pPr>
        <w:pStyle w:val="Sarakstarindkopa"/>
        <w:numPr>
          <w:ilvl w:val="0"/>
          <w:numId w:val="1"/>
        </w:numPr>
        <w:ind w:left="426" w:hanging="426"/>
        <w:jc w:val="both"/>
      </w:pPr>
      <w:r>
        <w:t>Debitoru parādu</w:t>
      </w:r>
      <w:r w:rsidR="0033570A">
        <w:t xml:space="preserve"> </w:t>
      </w:r>
      <w:r w:rsidR="004632AF">
        <w:t>piedziņas procesu</w:t>
      </w:r>
      <w:r w:rsidR="0068713F">
        <w:t xml:space="preserve"> </w:t>
      </w:r>
      <w:r w:rsidR="00DD171C">
        <w:t>uzrauga</w:t>
      </w:r>
      <w:r w:rsidR="0068713F">
        <w:t xml:space="preserve"> Jurists.</w:t>
      </w:r>
    </w:p>
    <w:p w:rsidR="001B6C50" w:rsidRPr="0049068F" w:rsidRDefault="0049068F" w:rsidP="0068713F">
      <w:pPr>
        <w:pStyle w:val="Sarakstarindkopa"/>
        <w:numPr>
          <w:ilvl w:val="0"/>
          <w:numId w:val="1"/>
        </w:numPr>
        <w:ind w:left="426" w:hanging="426"/>
        <w:jc w:val="both"/>
      </w:pPr>
      <w:r>
        <w:lastRenderedPageBreak/>
        <w:t>Debitor</w:t>
      </w:r>
      <w:r w:rsidR="00406610">
        <w:t>a</w:t>
      </w:r>
      <w:r>
        <w:t xml:space="preserve"> lietu veido visi </w:t>
      </w:r>
      <w:r w:rsidR="00563E5D">
        <w:t>nosūtītie</w:t>
      </w:r>
      <w:r>
        <w:t xml:space="preserve"> </w:t>
      </w:r>
      <w:r w:rsidR="004632AF">
        <w:t xml:space="preserve">un </w:t>
      </w:r>
      <w:r w:rsidR="00563E5D">
        <w:t>saņemtie</w:t>
      </w:r>
      <w:r w:rsidR="004632AF">
        <w:t xml:space="preserve"> </w:t>
      </w:r>
      <w:r>
        <w:t>dokumenti par darbībām ar Debitora parāda piedziņu.</w:t>
      </w:r>
      <w:r w:rsidR="00DD171C">
        <w:t xml:space="preserve"> Debitoru lietas</w:t>
      </w:r>
      <w:r w:rsidR="00B86758">
        <w:t>, ne</w:t>
      </w:r>
      <w:r w:rsidR="00ED24A8">
        <w:t>a</w:t>
      </w:r>
      <w:r w:rsidR="00B86758">
        <w:t>tkarīgi no piedziņas stadijas, tiek glabātas vienkopus.</w:t>
      </w:r>
      <w:r w:rsidR="00DD171C">
        <w:t xml:space="preserve"> </w:t>
      </w:r>
    </w:p>
    <w:p w:rsidR="0068713F" w:rsidRDefault="00FB003E" w:rsidP="00B86758">
      <w:pPr>
        <w:pStyle w:val="Sarakstarindkopa"/>
        <w:numPr>
          <w:ilvl w:val="0"/>
          <w:numId w:val="1"/>
        </w:numPr>
        <w:ind w:left="426" w:hanging="426"/>
        <w:jc w:val="both"/>
      </w:pPr>
      <w:r>
        <w:t>Debitoru parāda</w:t>
      </w:r>
      <w:r w:rsidR="0068713F">
        <w:t xml:space="preserve"> piedziņas gadījumi var tikt risināti, piemērojot </w:t>
      </w:r>
      <w:r w:rsidR="00B86758">
        <w:t>nosacījumus</w:t>
      </w:r>
      <w:r w:rsidR="00DD171C">
        <w:t>,</w:t>
      </w:r>
      <w:r w:rsidR="00625574">
        <w:t xml:space="preserve"> </w:t>
      </w:r>
      <w:r w:rsidR="00DD171C">
        <w:t xml:space="preserve">kas nav atrunāti šajā instrukcijā. Šādi izņēmuma gadījumi tiek izskatīti </w:t>
      </w:r>
      <w:r w:rsidR="0068713F">
        <w:t xml:space="preserve">atsevišķi </w:t>
      </w:r>
      <w:r w:rsidR="00DD171C">
        <w:t>un</w:t>
      </w:r>
      <w:r w:rsidR="0068713F">
        <w:t xml:space="preserve"> apstiprinājumu </w:t>
      </w:r>
      <w:r w:rsidR="00B86758">
        <w:t xml:space="preserve">nosacījumu piemērošanai </w:t>
      </w:r>
      <w:r w:rsidR="00DD171C">
        <w:t>sniedz</w:t>
      </w:r>
      <w:r w:rsidR="0068713F">
        <w:t xml:space="preserve"> Uzņēmuma vadītāj</w:t>
      </w:r>
      <w:r w:rsidR="00DD171C">
        <w:t>s, izvērtējot lietas apstākļus</w:t>
      </w:r>
      <w:r w:rsidR="0068713F">
        <w:t>.</w:t>
      </w:r>
      <w:r w:rsidR="00B86758">
        <w:t xml:space="preserve"> Uzņēmuma vadītājs arī sniedz rezolūciju par aprēķināto kavējuma procentu pilnīgu vai da</w:t>
      </w:r>
      <w:r w:rsidR="00563E5D">
        <w:t>ļēju dzēšanu.</w:t>
      </w:r>
    </w:p>
    <w:p w:rsidR="0068713F" w:rsidRDefault="0068713F" w:rsidP="00DD171C">
      <w:pPr>
        <w:pStyle w:val="Sarakstarindkopa"/>
        <w:numPr>
          <w:ilvl w:val="0"/>
          <w:numId w:val="1"/>
        </w:numPr>
        <w:ind w:left="426" w:hanging="426"/>
        <w:jc w:val="both"/>
      </w:pPr>
      <w:r>
        <w:t>Vienošanos ar Debitoru par parāda atmaksu daļās sastāda Biroja administrators vai Jurists</w:t>
      </w:r>
      <w:r w:rsidR="00B86758">
        <w:t>, atkarībā no piedziņas procesa veida</w:t>
      </w:r>
      <w:r>
        <w:t>, saskaņā ar</w:t>
      </w:r>
      <w:r w:rsidR="00FB003E">
        <w:t xml:space="preserve"> šīs i</w:t>
      </w:r>
      <w:r>
        <w:t>nstrukcijas noteikumiem.</w:t>
      </w:r>
    </w:p>
    <w:p w:rsidR="001B6C50" w:rsidRPr="0049068F" w:rsidRDefault="004F72F9" w:rsidP="0068713F">
      <w:pPr>
        <w:pStyle w:val="Sarakstarindkopa"/>
        <w:numPr>
          <w:ilvl w:val="0"/>
          <w:numId w:val="1"/>
        </w:numPr>
        <w:ind w:left="426" w:hanging="426"/>
        <w:jc w:val="both"/>
      </w:pPr>
      <w:r>
        <w:t>Tiesāšanās</w:t>
      </w:r>
      <w:r w:rsidR="00DD171C">
        <w:t xml:space="preserve"> izdevumu apmaksu veic Finanšu daļa ar Uzņēmuma vadītāja akceptu un maksājuma uzdevumu par apmaksas veikšanu </w:t>
      </w:r>
      <w:r w:rsidR="00625574">
        <w:t>nodod</w:t>
      </w:r>
      <w:r w:rsidR="00DD171C">
        <w:t xml:space="preserve"> Juristam.</w:t>
      </w:r>
    </w:p>
    <w:p w:rsidR="001B6C50" w:rsidRPr="006743DA" w:rsidRDefault="00BA4DD1" w:rsidP="0068713F">
      <w:pPr>
        <w:pStyle w:val="Sarakstarindkopa"/>
        <w:numPr>
          <w:ilvl w:val="0"/>
          <w:numId w:val="1"/>
        </w:numPr>
        <w:ind w:left="426" w:hanging="426"/>
        <w:jc w:val="both"/>
        <w:rPr>
          <w:b/>
        </w:rPr>
      </w:pPr>
      <w:r>
        <w:t>Reizi ceturksnī Jurists izvērtē Debitorus un Debitoru lietas</w:t>
      </w:r>
      <w:r w:rsidR="00FD46A7">
        <w:t xml:space="preserve">, kuras ir </w:t>
      </w:r>
      <w:r>
        <w:t xml:space="preserve">nodotas ZTI tiesas nolēmuma piespiedu izpildei, taču nav </w:t>
      </w:r>
      <w:r w:rsidR="00FD46A7">
        <w:t>sasnie</w:t>
      </w:r>
      <w:r>
        <w:t>gušas</w:t>
      </w:r>
      <w:r w:rsidR="00FD46A7">
        <w:t xml:space="preserve"> mērķi</w:t>
      </w:r>
      <w:r>
        <w:t>, proti, parāda nomaksu</w:t>
      </w:r>
      <w:r w:rsidR="00FD46A7">
        <w:t xml:space="preserve">, </w:t>
      </w:r>
      <w:r>
        <w:t xml:space="preserve">un </w:t>
      </w:r>
      <w:r w:rsidR="00FD46A7">
        <w:t>sastād</w:t>
      </w:r>
      <w:r>
        <w:t>a</w:t>
      </w:r>
      <w:r w:rsidR="00FD46A7">
        <w:t xml:space="preserve"> bezcerīg</w:t>
      </w:r>
      <w:r>
        <w:t>o</w:t>
      </w:r>
      <w:r w:rsidR="00FD46A7">
        <w:t xml:space="preserve"> parādniek</w:t>
      </w:r>
      <w:r>
        <w:t>u</w:t>
      </w:r>
      <w:r w:rsidR="00FD46A7">
        <w:t xml:space="preserve"> </w:t>
      </w:r>
      <w:r>
        <w:t>sarakstu. Katra kalendārā gada beigās, tiek izvērtēts bezcerīgo parādnieku saraksts, izvērtējot debitoru parādu norakstīšanas lietderību un ekonomisko pamatojumu.</w:t>
      </w:r>
      <w:r w:rsidR="00FD46A7">
        <w:t xml:space="preserve"> Atzinumu </w:t>
      </w:r>
      <w:r>
        <w:t>par norakstāmajiem bezcerīgo debitoru p</w:t>
      </w:r>
      <w:r w:rsidR="0033570A">
        <w:t>a</w:t>
      </w:r>
      <w:r>
        <w:t xml:space="preserve">rādiem </w:t>
      </w:r>
      <w:r w:rsidR="00FD46A7">
        <w:t xml:space="preserve">paraksta Uzņēmuma vadītājs, Finanšu daļas vadītājs  un Jurists. </w:t>
      </w:r>
    </w:p>
    <w:p w:rsidR="004E6025" w:rsidRDefault="004E6025" w:rsidP="006743DA">
      <w:pPr>
        <w:jc w:val="both"/>
        <w:rPr>
          <w:b/>
        </w:rPr>
      </w:pPr>
    </w:p>
    <w:p w:rsidR="008B7E90" w:rsidRDefault="004E6025" w:rsidP="008B7E90">
      <w:pPr>
        <w:spacing w:after="120"/>
        <w:jc w:val="center"/>
        <w:rPr>
          <w:b/>
        </w:rPr>
      </w:pPr>
      <w:r w:rsidRPr="004E6025">
        <w:rPr>
          <w:b/>
        </w:rPr>
        <w:t>VII Noslēguma jautājumi</w:t>
      </w:r>
    </w:p>
    <w:p w:rsidR="006743DA" w:rsidRPr="008B7E90" w:rsidRDefault="00625574" w:rsidP="008B7E90">
      <w:pPr>
        <w:pStyle w:val="Sarakstarindkopa"/>
        <w:numPr>
          <w:ilvl w:val="0"/>
          <w:numId w:val="1"/>
        </w:numPr>
        <w:spacing w:after="120"/>
        <w:ind w:left="426"/>
        <w:jc w:val="both"/>
        <w:rPr>
          <w:b/>
        </w:rPr>
      </w:pPr>
      <w:r w:rsidRPr="00625574">
        <w:t>Ja Debitors parāda piedziņas procesā ir uzsācis maksātnespējas procesu</w:t>
      </w:r>
      <w:r w:rsidR="00BA4DD1">
        <w:t xml:space="preserve">, ir likvidēts </w:t>
      </w:r>
      <w:r w:rsidRPr="00625574">
        <w:t xml:space="preserve"> vai miris,  Jurists </w:t>
      </w:r>
      <w:r w:rsidR="00BA4DD1">
        <w:t xml:space="preserve">izvērtē (juridiskie un ekonomiskie aspekti) </w:t>
      </w:r>
      <w:r w:rsidRPr="00625574">
        <w:t>kreditora prasījum</w:t>
      </w:r>
      <w:r>
        <w:t>a pieteikum</w:t>
      </w:r>
      <w:r w:rsidR="00BA4DD1">
        <w:t>a iesniegšanas perspektīvas</w:t>
      </w:r>
      <w:r>
        <w:t>,</w:t>
      </w:r>
      <w:r w:rsidRPr="00625574">
        <w:t xml:space="preserve"> saskaņā</w:t>
      </w:r>
      <w:r>
        <w:t xml:space="preserve"> Latvijas Republikā</w:t>
      </w:r>
      <w:r w:rsidRPr="00625574">
        <w:t xml:space="preserve"> spēkā esošiem normatīviem aktiem.</w:t>
      </w:r>
      <w:r w:rsidR="00D50CC7">
        <w:t xml:space="preserve"> </w:t>
      </w:r>
      <w:bookmarkStart w:id="0" w:name="_GoBack"/>
      <w:bookmarkEnd w:id="0"/>
    </w:p>
    <w:sectPr w:rsidR="006743DA" w:rsidRPr="008B7E90" w:rsidSect="004F72F9">
      <w:footerReference w:type="default" r:id="rId9"/>
      <w:pgSz w:w="11906" w:h="16838"/>
      <w:pgMar w:top="567" w:right="1134" w:bottom="567" w:left="1701" w:header="709"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6AF25" w15:done="0"/>
  <w15:commentEx w15:paraId="4EBA0BFC" w15:done="0"/>
  <w15:commentEx w15:paraId="526AB1D1" w15:done="0"/>
  <w15:commentEx w15:paraId="62346EA6" w15:paraIdParent="526AB1D1" w15:done="0"/>
  <w15:commentEx w15:paraId="1085BA5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75" w:rsidRDefault="00D54175" w:rsidP="004E6025">
      <w:r>
        <w:separator/>
      </w:r>
    </w:p>
  </w:endnote>
  <w:endnote w:type="continuationSeparator" w:id="0">
    <w:p w:rsidR="00D54175" w:rsidRDefault="00D54175" w:rsidP="004E6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15331"/>
      <w:docPartObj>
        <w:docPartGallery w:val="Page Numbers (Bottom of Page)"/>
        <w:docPartUnique/>
      </w:docPartObj>
    </w:sdtPr>
    <w:sdtContent>
      <w:p w:rsidR="00B86758" w:rsidRDefault="00825512">
        <w:pPr>
          <w:pStyle w:val="Kjene"/>
          <w:jc w:val="center"/>
        </w:pPr>
        <w:r>
          <w:rPr>
            <w:noProof/>
          </w:rPr>
          <w:fldChar w:fldCharType="begin"/>
        </w:r>
        <w:r w:rsidR="00B86758">
          <w:rPr>
            <w:noProof/>
          </w:rPr>
          <w:instrText xml:space="preserve"> PAGE   \* MERGEFORMAT </w:instrText>
        </w:r>
        <w:r>
          <w:rPr>
            <w:noProof/>
          </w:rPr>
          <w:fldChar w:fldCharType="separate"/>
        </w:r>
        <w:r w:rsidR="00A1376A">
          <w:rPr>
            <w:noProof/>
          </w:rPr>
          <w:t>1</w:t>
        </w:r>
        <w:r>
          <w:rPr>
            <w:noProof/>
          </w:rPr>
          <w:fldChar w:fldCharType="end"/>
        </w:r>
      </w:p>
    </w:sdtContent>
  </w:sdt>
  <w:p w:rsidR="00B86758" w:rsidRDefault="00B86758">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75" w:rsidRDefault="00D54175" w:rsidP="004E6025">
      <w:r>
        <w:separator/>
      </w:r>
    </w:p>
  </w:footnote>
  <w:footnote w:type="continuationSeparator" w:id="0">
    <w:p w:rsidR="00D54175" w:rsidRDefault="00D54175" w:rsidP="004E6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BDE"/>
    <w:multiLevelType w:val="multilevel"/>
    <w:tmpl w:val="2DE05CAA"/>
    <w:lvl w:ilvl="0">
      <w:start w:val="1"/>
      <w:numFmt w:val="decimal"/>
      <w:lvlText w:val="%1."/>
      <w:lvlJc w:val="left"/>
      <w:pPr>
        <w:ind w:left="720" w:hanging="363"/>
      </w:pPr>
      <w:rPr>
        <w:rFonts w:ascii="Times New Roman" w:hAnsi="Times New Roman" w:hint="default"/>
        <w:b/>
        <w:caps w:val="0"/>
        <w:strike w:val="0"/>
        <w:dstrike w:val="0"/>
        <w:outline w:val="0"/>
        <w:shadow w:val="0"/>
        <w:emboss w:val="0"/>
        <w:imprint w:val="0"/>
        <w:color w:val="auto"/>
        <w:sz w:val="24"/>
        <w:szCs w:val="24"/>
        <w:vertAlign w:val="baseline"/>
      </w:rPr>
    </w:lvl>
    <w:lvl w:ilvl="1">
      <w:start w:val="1"/>
      <w:numFmt w:val="decimal"/>
      <w:isLgl/>
      <w:lvlText w:val="%1.%2."/>
      <w:lvlJc w:val="left"/>
      <w:pPr>
        <w:ind w:left="4475" w:hanging="363"/>
      </w:pPr>
      <w:rPr>
        <w:rFonts w:hint="default"/>
        <w:b w:val="0"/>
        <w:sz w:val="24"/>
        <w:szCs w:val="24"/>
      </w:rPr>
    </w:lvl>
    <w:lvl w:ilvl="2">
      <w:start w:val="1"/>
      <w:numFmt w:val="decimal"/>
      <w:isLgl/>
      <w:lvlText w:val="%1.%2.%3."/>
      <w:lvlJc w:val="left"/>
      <w:pPr>
        <w:ind w:left="856" w:hanging="363"/>
      </w:pPr>
      <w:rPr>
        <w:rFonts w:hint="default"/>
      </w:rPr>
    </w:lvl>
    <w:lvl w:ilvl="3">
      <w:start w:val="1"/>
      <w:numFmt w:val="decimal"/>
      <w:isLgl/>
      <w:lvlText w:val="%1.%2.%3.%4."/>
      <w:lvlJc w:val="left"/>
      <w:pPr>
        <w:ind w:left="924" w:hanging="363"/>
      </w:pPr>
      <w:rPr>
        <w:rFonts w:hint="default"/>
      </w:rPr>
    </w:lvl>
    <w:lvl w:ilvl="4">
      <w:start w:val="1"/>
      <w:numFmt w:val="decimal"/>
      <w:isLgl/>
      <w:lvlText w:val="%1.%2.%3.%4.%5."/>
      <w:lvlJc w:val="left"/>
      <w:pPr>
        <w:ind w:left="992" w:hanging="363"/>
      </w:pPr>
      <w:rPr>
        <w:rFonts w:hint="default"/>
      </w:rPr>
    </w:lvl>
    <w:lvl w:ilvl="5">
      <w:start w:val="1"/>
      <w:numFmt w:val="decimal"/>
      <w:isLgl/>
      <w:lvlText w:val="%1.%2.%3.%4.%5.%6."/>
      <w:lvlJc w:val="left"/>
      <w:pPr>
        <w:ind w:left="1060" w:hanging="363"/>
      </w:pPr>
      <w:rPr>
        <w:rFonts w:hint="default"/>
      </w:rPr>
    </w:lvl>
    <w:lvl w:ilvl="6">
      <w:start w:val="1"/>
      <w:numFmt w:val="decimal"/>
      <w:isLgl/>
      <w:lvlText w:val="%1.%2.%3.%4.%5.%6.%7."/>
      <w:lvlJc w:val="left"/>
      <w:pPr>
        <w:ind w:left="1128" w:hanging="363"/>
      </w:pPr>
      <w:rPr>
        <w:rFonts w:hint="default"/>
      </w:rPr>
    </w:lvl>
    <w:lvl w:ilvl="7">
      <w:start w:val="1"/>
      <w:numFmt w:val="decimal"/>
      <w:isLgl/>
      <w:lvlText w:val="%1.%2.%3.%4.%5.%6.%7.%8."/>
      <w:lvlJc w:val="left"/>
      <w:pPr>
        <w:ind w:left="1196" w:hanging="363"/>
      </w:pPr>
      <w:rPr>
        <w:rFonts w:hint="default"/>
      </w:rPr>
    </w:lvl>
    <w:lvl w:ilvl="8">
      <w:start w:val="1"/>
      <w:numFmt w:val="decimal"/>
      <w:isLgl/>
      <w:lvlText w:val="%1.%2.%3.%4.%5.%6.%7.%8.%9."/>
      <w:lvlJc w:val="left"/>
      <w:pPr>
        <w:ind w:left="1264" w:hanging="363"/>
      </w:pPr>
      <w:rPr>
        <w:rFonts w:hint="default"/>
      </w:rPr>
    </w:lvl>
  </w:abstractNum>
  <w:abstractNum w:abstractNumId="1">
    <w:nsid w:val="0CF247CB"/>
    <w:multiLevelType w:val="multilevel"/>
    <w:tmpl w:val="19DEC1A6"/>
    <w:lvl w:ilvl="0">
      <w:start w:val="1"/>
      <w:numFmt w:val="decimal"/>
      <w:lvlText w:val="%1."/>
      <w:lvlJc w:val="left"/>
      <w:pPr>
        <w:ind w:left="720" w:hanging="363"/>
      </w:pPr>
      <w:rPr>
        <w:rFonts w:ascii="Times New Roman" w:hAnsi="Times New Roman" w:hint="default"/>
        <w:b/>
        <w:caps w:val="0"/>
        <w:strike w:val="0"/>
        <w:dstrike w:val="0"/>
        <w:outline w:val="0"/>
        <w:shadow w:val="0"/>
        <w:emboss w:val="0"/>
        <w:imprint w:val="0"/>
        <w:sz w:val="24"/>
        <w:szCs w:val="24"/>
        <w:vertAlign w:val="baseline"/>
      </w:rPr>
    </w:lvl>
    <w:lvl w:ilvl="1">
      <w:start w:val="1"/>
      <w:numFmt w:val="decimal"/>
      <w:isLgl/>
      <w:lvlText w:val="%1.%2."/>
      <w:lvlJc w:val="left"/>
      <w:pPr>
        <w:ind w:left="788" w:hanging="363"/>
      </w:pPr>
      <w:rPr>
        <w:rFonts w:hint="default"/>
        <w:b w:val="0"/>
        <w:sz w:val="24"/>
        <w:szCs w:val="24"/>
      </w:rPr>
    </w:lvl>
    <w:lvl w:ilvl="2">
      <w:start w:val="1"/>
      <w:numFmt w:val="decimal"/>
      <w:isLgl/>
      <w:lvlText w:val="%1.%2.%3."/>
      <w:lvlJc w:val="left"/>
      <w:pPr>
        <w:ind w:left="856" w:hanging="363"/>
      </w:pPr>
      <w:rPr>
        <w:rFonts w:hint="default"/>
      </w:rPr>
    </w:lvl>
    <w:lvl w:ilvl="3">
      <w:start w:val="1"/>
      <w:numFmt w:val="decimal"/>
      <w:isLgl/>
      <w:lvlText w:val="%1.%2.%3.%4."/>
      <w:lvlJc w:val="left"/>
      <w:pPr>
        <w:ind w:left="924" w:hanging="363"/>
      </w:pPr>
      <w:rPr>
        <w:rFonts w:hint="default"/>
      </w:rPr>
    </w:lvl>
    <w:lvl w:ilvl="4">
      <w:start w:val="1"/>
      <w:numFmt w:val="decimal"/>
      <w:isLgl/>
      <w:lvlText w:val="%1.%2.%3.%4.%5."/>
      <w:lvlJc w:val="left"/>
      <w:pPr>
        <w:ind w:left="992" w:hanging="363"/>
      </w:pPr>
      <w:rPr>
        <w:rFonts w:hint="default"/>
      </w:rPr>
    </w:lvl>
    <w:lvl w:ilvl="5">
      <w:start w:val="1"/>
      <w:numFmt w:val="decimal"/>
      <w:isLgl/>
      <w:lvlText w:val="%1.%2.%3.%4.%5.%6."/>
      <w:lvlJc w:val="left"/>
      <w:pPr>
        <w:ind w:left="1060" w:hanging="363"/>
      </w:pPr>
      <w:rPr>
        <w:rFonts w:hint="default"/>
      </w:rPr>
    </w:lvl>
    <w:lvl w:ilvl="6">
      <w:start w:val="1"/>
      <w:numFmt w:val="decimal"/>
      <w:isLgl/>
      <w:lvlText w:val="%1.%2.%3.%4.%5.%6.%7."/>
      <w:lvlJc w:val="left"/>
      <w:pPr>
        <w:ind w:left="1128" w:hanging="363"/>
      </w:pPr>
      <w:rPr>
        <w:rFonts w:hint="default"/>
      </w:rPr>
    </w:lvl>
    <w:lvl w:ilvl="7">
      <w:start w:val="1"/>
      <w:numFmt w:val="decimal"/>
      <w:isLgl/>
      <w:lvlText w:val="%1.%2.%3.%4.%5.%6.%7.%8."/>
      <w:lvlJc w:val="left"/>
      <w:pPr>
        <w:ind w:left="1196" w:hanging="363"/>
      </w:pPr>
      <w:rPr>
        <w:rFonts w:hint="default"/>
      </w:rPr>
    </w:lvl>
    <w:lvl w:ilvl="8">
      <w:start w:val="1"/>
      <w:numFmt w:val="decimal"/>
      <w:isLgl/>
      <w:lvlText w:val="%1.%2.%3.%4.%5.%6.%7.%8.%9."/>
      <w:lvlJc w:val="left"/>
      <w:pPr>
        <w:ind w:left="1264" w:hanging="363"/>
      </w:pPr>
      <w:rPr>
        <w:rFonts w:hint="default"/>
      </w:rPr>
    </w:lvl>
  </w:abstractNum>
  <w:abstractNum w:abstractNumId="2">
    <w:nsid w:val="1ED6235F"/>
    <w:multiLevelType w:val="hybridMultilevel"/>
    <w:tmpl w:val="57C6A6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3665D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4F63C3"/>
    <w:multiLevelType w:val="hybridMultilevel"/>
    <w:tmpl w:val="167CEC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A25C78"/>
    <w:multiLevelType w:val="hybridMultilevel"/>
    <w:tmpl w:val="7B7CBE8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5A9E2111"/>
    <w:multiLevelType w:val="hybridMultilevel"/>
    <w:tmpl w:val="613A8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D340BD9"/>
    <w:multiLevelType w:val="hybridMultilevel"/>
    <w:tmpl w:val="861E9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Kurzemniece">
    <w15:presenceInfo w15:providerId="Windows Live" w15:userId="474cbc6e3625f8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95D76"/>
    <w:rsid w:val="00070DD1"/>
    <w:rsid w:val="000B5DBA"/>
    <w:rsid w:val="000F5684"/>
    <w:rsid w:val="001062B2"/>
    <w:rsid w:val="001331B3"/>
    <w:rsid w:val="00155F60"/>
    <w:rsid w:val="00195D76"/>
    <w:rsid w:val="001B5E61"/>
    <w:rsid w:val="001B6C50"/>
    <w:rsid w:val="001C51B0"/>
    <w:rsid w:val="001E44CB"/>
    <w:rsid w:val="001E62F4"/>
    <w:rsid w:val="00252852"/>
    <w:rsid w:val="00275D4C"/>
    <w:rsid w:val="002C04D8"/>
    <w:rsid w:val="002C18C2"/>
    <w:rsid w:val="002D29A5"/>
    <w:rsid w:val="002F5928"/>
    <w:rsid w:val="00305D1B"/>
    <w:rsid w:val="00316C58"/>
    <w:rsid w:val="0033570A"/>
    <w:rsid w:val="00336418"/>
    <w:rsid w:val="003431F1"/>
    <w:rsid w:val="00374443"/>
    <w:rsid w:val="003816E9"/>
    <w:rsid w:val="003F07B9"/>
    <w:rsid w:val="003F7753"/>
    <w:rsid w:val="00402BDF"/>
    <w:rsid w:val="00406610"/>
    <w:rsid w:val="00424668"/>
    <w:rsid w:val="0042690B"/>
    <w:rsid w:val="00442ACF"/>
    <w:rsid w:val="00443F2D"/>
    <w:rsid w:val="00453210"/>
    <w:rsid w:val="004632AF"/>
    <w:rsid w:val="004860EC"/>
    <w:rsid w:val="0049068F"/>
    <w:rsid w:val="00492C9F"/>
    <w:rsid w:val="004A22A2"/>
    <w:rsid w:val="004E504B"/>
    <w:rsid w:val="004E6025"/>
    <w:rsid w:val="004F72F9"/>
    <w:rsid w:val="00557BF6"/>
    <w:rsid w:val="00562A1D"/>
    <w:rsid w:val="00563E5D"/>
    <w:rsid w:val="005645C2"/>
    <w:rsid w:val="00564670"/>
    <w:rsid w:val="0057678B"/>
    <w:rsid w:val="005C6071"/>
    <w:rsid w:val="00625574"/>
    <w:rsid w:val="0063046D"/>
    <w:rsid w:val="00637AB5"/>
    <w:rsid w:val="00660C30"/>
    <w:rsid w:val="006743DA"/>
    <w:rsid w:val="0067635E"/>
    <w:rsid w:val="0068713F"/>
    <w:rsid w:val="006B2AC9"/>
    <w:rsid w:val="006D3A95"/>
    <w:rsid w:val="006E7921"/>
    <w:rsid w:val="00703ECE"/>
    <w:rsid w:val="007323F4"/>
    <w:rsid w:val="007553AD"/>
    <w:rsid w:val="0075738B"/>
    <w:rsid w:val="00763EE5"/>
    <w:rsid w:val="007C7732"/>
    <w:rsid w:val="00811018"/>
    <w:rsid w:val="00815D1C"/>
    <w:rsid w:val="00825512"/>
    <w:rsid w:val="008341E4"/>
    <w:rsid w:val="00836879"/>
    <w:rsid w:val="0083713D"/>
    <w:rsid w:val="00870AB7"/>
    <w:rsid w:val="008B30C5"/>
    <w:rsid w:val="008B7E90"/>
    <w:rsid w:val="008F3D94"/>
    <w:rsid w:val="00912157"/>
    <w:rsid w:val="009A141F"/>
    <w:rsid w:val="009A3D2B"/>
    <w:rsid w:val="009D3177"/>
    <w:rsid w:val="00A1376A"/>
    <w:rsid w:val="00A144D9"/>
    <w:rsid w:val="00A26621"/>
    <w:rsid w:val="00A26AF8"/>
    <w:rsid w:val="00A320D6"/>
    <w:rsid w:val="00A54304"/>
    <w:rsid w:val="00A54A92"/>
    <w:rsid w:val="00AF57C1"/>
    <w:rsid w:val="00B1133F"/>
    <w:rsid w:val="00B86758"/>
    <w:rsid w:val="00BA4DD1"/>
    <w:rsid w:val="00BC2B7D"/>
    <w:rsid w:val="00BC4B50"/>
    <w:rsid w:val="00BC55F4"/>
    <w:rsid w:val="00BC5B0E"/>
    <w:rsid w:val="00BD4AE9"/>
    <w:rsid w:val="00BE32CE"/>
    <w:rsid w:val="00BF59F7"/>
    <w:rsid w:val="00C02668"/>
    <w:rsid w:val="00C0322E"/>
    <w:rsid w:val="00C0392B"/>
    <w:rsid w:val="00C252FC"/>
    <w:rsid w:val="00C424F3"/>
    <w:rsid w:val="00C6526B"/>
    <w:rsid w:val="00CC5DF2"/>
    <w:rsid w:val="00D06093"/>
    <w:rsid w:val="00D20404"/>
    <w:rsid w:val="00D505EF"/>
    <w:rsid w:val="00D50CC7"/>
    <w:rsid w:val="00D54175"/>
    <w:rsid w:val="00D5563A"/>
    <w:rsid w:val="00D61E79"/>
    <w:rsid w:val="00D63F0D"/>
    <w:rsid w:val="00D744D1"/>
    <w:rsid w:val="00DB48F4"/>
    <w:rsid w:val="00DD171C"/>
    <w:rsid w:val="00E371C6"/>
    <w:rsid w:val="00E74C6A"/>
    <w:rsid w:val="00E971C4"/>
    <w:rsid w:val="00EA3CC5"/>
    <w:rsid w:val="00ED24A8"/>
    <w:rsid w:val="00EE4AA8"/>
    <w:rsid w:val="00EF4A59"/>
    <w:rsid w:val="00F109EE"/>
    <w:rsid w:val="00F351F1"/>
    <w:rsid w:val="00F60557"/>
    <w:rsid w:val="00F77A01"/>
    <w:rsid w:val="00F82832"/>
    <w:rsid w:val="00F83E67"/>
    <w:rsid w:val="00F979E2"/>
    <w:rsid w:val="00FB003E"/>
    <w:rsid w:val="00FD46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95D7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1C51B0"/>
    <w:pPr>
      <w:ind w:left="720"/>
      <w:contextualSpacing/>
    </w:pPr>
  </w:style>
  <w:style w:type="paragraph" w:styleId="Galvene">
    <w:name w:val="header"/>
    <w:basedOn w:val="Parastais"/>
    <w:link w:val="GalveneRakstz"/>
    <w:uiPriority w:val="99"/>
    <w:semiHidden/>
    <w:unhideWhenUsed/>
    <w:rsid w:val="004E6025"/>
    <w:pPr>
      <w:tabs>
        <w:tab w:val="center" w:pos="4153"/>
        <w:tab w:val="right" w:pos="8306"/>
      </w:tabs>
    </w:pPr>
  </w:style>
  <w:style w:type="character" w:customStyle="1" w:styleId="GalveneRakstz">
    <w:name w:val="Galvene Rakstz."/>
    <w:basedOn w:val="Noklusjumarindkopasfonts"/>
    <w:link w:val="Galvene"/>
    <w:uiPriority w:val="99"/>
    <w:semiHidden/>
    <w:rsid w:val="004E6025"/>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4E6025"/>
    <w:pPr>
      <w:tabs>
        <w:tab w:val="center" w:pos="4153"/>
        <w:tab w:val="right" w:pos="8306"/>
      </w:tabs>
    </w:pPr>
  </w:style>
  <w:style w:type="character" w:customStyle="1" w:styleId="KjeneRakstz">
    <w:name w:val="Kājene Rakstz."/>
    <w:basedOn w:val="Noklusjumarindkopasfonts"/>
    <w:link w:val="Kjene"/>
    <w:uiPriority w:val="99"/>
    <w:rsid w:val="004E602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50CC7"/>
    <w:rPr>
      <w:color w:val="0000FF" w:themeColor="hyperlink"/>
      <w:u w:val="single"/>
    </w:rPr>
  </w:style>
  <w:style w:type="paragraph" w:styleId="Balonteksts">
    <w:name w:val="Balloon Text"/>
    <w:basedOn w:val="Parastais"/>
    <w:link w:val="BalontekstsRakstz"/>
    <w:uiPriority w:val="99"/>
    <w:semiHidden/>
    <w:unhideWhenUsed/>
    <w:rsid w:val="008F3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3D9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D744D1"/>
    <w:rPr>
      <w:sz w:val="16"/>
      <w:szCs w:val="16"/>
    </w:rPr>
  </w:style>
  <w:style w:type="paragraph" w:styleId="Komentrateksts">
    <w:name w:val="annotation text"/>
    <w:basedOn w:val="Parastais"/>
    <w:link w:val="KomentratekstsRakstz"/>
    <w:uiPriority w:val="99"/>
    <w:semiHidden/>
    <w:unhideWhenUsed/>
    <w:rsid w:val="00D744D1"/>
    <w:rPr>
      <w:sz w:val="20"/>
      <w:szCs w:val="20"/>
    </w:rPr>
  </w:style>
  <w:style w:type="character" w:customStyle="1" w:styleId="KomentratekstsRakstz">
    <w:name w:val="Komentāra teksts Rakstz."/>
    <w:basedOn w:val="Noklusjumarindkopasfonts"/>
    <w:link w:val="Komentrateksts"/>
    <w:uiPriority w:val="99"/>
    <w:semiHidden/>
    <w:rsid w:val="00D744D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744D1"/>
    <w:rPr>
      <w:b/>
      <w:bCs/>
    </w:rPr>
  </w:style>
  <w:style w:type="character" w:customStyle="1" w:styleId="KomentratmaRakstz">
    <w:name w:val="Komentāra tēma Rakstz."/>
    <w:basedOn w:val="KomentratekstsRakstz"/>
    <w:link w:val="Komentratma"/>
    <w:uiPriority w:val="99"/>
    <w:semiHidden/>
    <w:rsid w:val="00D744D1"/>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3B8D-F70D-482E-BA22-6D6686B1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6908</Words>
  <Characters>3938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2018-04-25T07:32:00Z</cp:lastPrinted>
  <dcterms:created xsi:type="dcterms:W3CDTF">2021-03-19T08:56:00Z</dcterms:created>
  <dcterms:modified xsi:type="dcterms:W3CDTF">2021-03-19T09:55:00Z</dcterms:modified>
</cp:coreProperties>
</file>